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D5D" w14:textId="77777777" w:rsidR="00375119" w:rsidRDefault="00375119" w:rsidP="00375119">
      <w:pPr>
        <w:jc w:val="center"/>
        <w:rPr>
          <w:sz w:val="40"/>
          <w:szCs w:val="40"/>
        </w:rPr>
      </w:pPr>
    </w:p>
    <w:p w14:paraId="0FD06A28" w14:textId="77777777" w:rsidR="00375119" w:rsidRDefault="00375119" w:rsidP="00375119">
      <w:pPr>
        <w:jc w:val="center"/>
        <w:rPr>
          <w:sz w:val="40"/>
          <w:szCs w:val="40"/>
        </w:rPr>
      </w:pPr>
    </w:p>
    <w:p w14:paraId="49852D30" w14:textId="77777777" w:rsidR="00375119" w:rsidRDefault="00375119" w:rsidP="00375119">
      <w:pPr>
        <w:jc w:val="center"/>
        <w:rPr>
          <w:sz w:val="40"/>
          <w:szCs w:val="40"/>
        </w:rPr>
      </w:pPr>
    </w:p>
    <w:p w14:paraId="15236E2C" w14:textId="77777777" w:rsidR="00375119" w:rsidRDefault="00375119" w:rsidP="00375119">
      <w:pPr>
        <w:jc w:val="center"/>
        <w:rPr>
          <w:sz w:val="40"/>
          <w:szCs w:val="40"/>
        </w:rPr>
      </w:pPr>
    </w:p>
    <w:p w14:paraId="0B463866" w14:textId="77777777" w:rsidR="00375119" w:rsidRDefault="00375119" w:rsidP="00375119">
      <w:pPr>
        <w:jc w:val="center"/>
        <w:rPr>
          <w:sz w:val="40"/>
          <w:szCs w:val="40"/>
        </w:rPr>
      </w:pPr>
    </w:p>
    <w:p w14:paraId="1FEE4D31" w14:textId="77777777" w:rsidR="00375119" w:rsidRPr="0070497B" w:rsidRDefault="00375119" w:rsidP="00375119">
      <w:pPr>
        <w:jc w:val="center"/>
        <w:rPr>
          <w:b/>
          <w:bCs/>
          <w:sz w:val="40"/>
          <w:szCs w:val="40"/>
        </w:rPr>
      </w:pPr>
    </w:p>
    <w:p w14:paraId="141403C1" w14:textId="77777777" w:rsidR="00375119" w:rsidRDefault="00375119" w:rsidP="00375119">
      <w:pPr>
        <w:jc w:val="center"/>
        <w:rPr>
          <w:sz w:val="40"/>
          <w:szCs w:val="40"/>
        </w:rPr>
      </w:pPr>
      <w:r w:rsidRPr="0070497B">
        <w:rPr>
          <w:b/>
          <w:bCs/>
          <w:sz w:val="40"/>
          <w:szCs w:val="40"/>
        </w:rPr>
        <w:t xml:space="preserve">Mental health amongst students at the </w:t>
      </w:r>
      <w:r>
        <w:rPr>
          <w:b/>
          <w:bCs/>
          <w:sz w:val="40"/>
          <w:szCs w:val="40"/>
        </w:rPr>
        <w:t>University of Groningen</w:t>
      </w:r>
      <w:r w:rsidRPr="0070497B">
        <w:rPr>
          <w:b/>
          <w:bCs/>
          <w:sz w:val="40"/>
          <w:szCs w:val="40"/>
        </w:rPr>
        <w:t xml:space="preserve"> and </w:t>
      </w:r>
      <w:proofErr w:type="spellStart"/>
      <w:r w:rsidRPr="0070497B">
        <w:rPr>
          <w:b/>
          <w:bCs/>
          <w:sz w:val="40"/>
          <w:szCs w:val="40"/>
        </w:rPr>
        <w:t>Hanzehogeschool</w:t>
      </w:r>
      <w:proofErr w:type="spellEnd"/>
      <w:r>
        <w:rPr>
          <w:sz w:val="40"/>
          <w:szCs w:val="40"/>
        </w:rPr>
        <w:t xml:space="preserve"> </w:t>
      </w:r>
    </w:p>
    <w:p w14:paraId="5EE0CA5E" w14:textId="77777777" w:rsidR="00375119" w:rsidRDefault="00375119" w:rsidP="00375119">
      <w:pPr>
        <w:jc w:val="center"/>
        <w:rPr>
          <w:sz w:val="40"/>
          <w:szCs w:val="40"/>
        </w:rPr>
      </w:pPr>
    </w:p>
    <w:p w14:paraId="70C06E62" w14:textId="77777777" w:rsidR="00375119" w:rsidRDefault="00375119" w:rsidP="00375119">
      <w:pPr>
        <w:jc w:val="center"/>
        <w:rPr>
          <w:sz w:val="40"/>
          <w:szCs w:val="40"/>
        </w:rPr>
      </w:pPr>
    </w:p>
    <w:p w14:paraId="21579792" w14:textId="77777777" w:rsidR="00375119" w:rsidRDefault="00375119" w:rsidP="00375119">
      <w:pPr>
        <w:jc w:val="center"/>
        <w:rPr>
          <w:sz w:val="40"/>
          <w:szCs w:val="40"/>
        </w:rPr>
      </w:pPr>
    </w:p>
    <w:p w14:paraId="385E7A28" w14:textId="77777777" w:rsidR="00375119" w:rsidRDefault="00375119" w:rsidP="00375119">
      <w:pPr>
        <w:jc w:val="center"/>
        <w:rPr>
          <w:sz w:val="40"/>
          <w:szCs w:val="40"/>
        </w:rPr>
      </w:pPr>
    </w:p>
    <w:p w14:paraId="1B811A43" w14:textId="77777777" w:rsidR="00375119" w:rsidRDefault="00375119" w:rsidP="00375119">
      <w:pPr>
        <w:jc w:val="center"/>
        <w:rPr>
          <w:sz w:val="40"/>
          <w:szCs w:val="40"/>
        </w:rPr>
      </w:pPr>
    </w:p>
    <w:p w14:paraId="42D94BFD" w14:textId="77777777" w:rsidR="00375119" w:rsidRDefault="00375119" w:rsidP="00375119">
      <w:pPr>
        <w:jc w:val="center"/>
        <w:rPr>
          <w:sz w:val="40"/>
          <w:szCs w:val="40"/>
        </w:rPr>
      </w:pPr>
    </w:p>
    <w:p w14:paraId="254505F9" w14:textId="77777777" w:rsidR="00375119" w:rsidRDefault="00375119" w:rsidP="00375119">
      <w:pPr>
        <w:jc w:val="center"/>
        <w:rPr>
          <w:sz w:val="40"/>
          <w:szCs w:val="40"/>
        </w:rPr>
      </w:pPr>
    </w:p>
    <w:p w14:paraId="6402EBDC" w14:textId="77777777" w:rsidR="00375119" w:rsidRDefault="00375119" w:rsidP="00375119">
      <w:pPr>
        <w:jc w:val="center"/>
        <w:rPr>
          <w:sz w:val="40"/>
          <w:szCs w:val="40"/>
        </w:rPr>
      </w:pPr>
    </w:p>
    <w:p w14:paraId="5F1F3EEC" w14:textId="77777777" w:rsidR="00375119" w:rsidRDefault="00375119" w:rsidP="00375119">
      <w:pPr>
        <w:jc w:val="center"/>
        <w:rPr>
          <w:sz w:val="40"/>
          <w:szCs w:val="40"/>
        </w:rPr>
      </w:pPr>
    </w:p>
    <w:p w14:paraId="4CBDC212" w14:textId="77777777" w:rsidR="00375119" w:rsidRDefault="00375119" w:rsidP="00375119">
      <w:pPr>
        <w:jc w:val="center"/>
        <w:rPr>
          <w:sz w:val="40"/>
          <w:szCs w:val="40"/>
        </w:rPr>
      </w:pPr>
    </w:p>
    <w:p w14:paraId="26CAFA51" w14:textId="77777777" w:rsidR="00375119" w:rsidRDefault="00375119" w:rsidP="00375119">
      <w:pPr>
        <w:jc w:val="center"/>
        <w:rPr>
          <w:sz w:val="40"/>
          <w:szCs w:val="40"/>
        </w:rPr>
      </w:pPr>
    </w:p>
    <w:p w14:paraId="53F1BDBB" w14:textId="77777777" w:rsidR="00375119" w:rsidRDefault="00375119" w:rsidP="00375119">
      <w:pPr>
        <w:jc w:val="center"/>
        <w:rPr>
          <w:sz w:val="40"/>
          <w:szCs w:val="40"/>
        </w:rPr>
      </w:pPr>
    </w:p>
    <w:p w14:paraId="7C0893A2" w14:textId="77777777" w:rsidR="00375119" w:rsidRDefault="00375119" w:rsidP="00375119">
      <w:pPr>
        <w:jc w:val="center"/>
        <w:rPr>
          <w:sz w:val="40"/>
          <w:szCs w:val="40"/>
        </w:rPr>
      </w:pPr>
    </w:p>
    <w:p w14:paraId="7014B2D9" w14:textId="77777777" w:rsidR="00375119" w:rsidRDefault="00375119" w:rsidP="00375119">
      <w:pPr>
        <w:jc w:val="center"/>
        <w:rPr>
          <w:sz w:val="40"/>
          <w:szCs w:val="40"/>
        </w:rPr>
      </w:pPr>
    </w:p>
    <w:p w14:paraId="651E188E" w14:textId="77777777" w:rsidR="00375119" w:rsidRDefault="00375119" w:rsidP="00375119">
      <w:pPr>
        <w:jc w:val="center"/>
        <w:rPr>
          <w:sz w:val="40"/>
          <w:szCs w:val="40"/>
        </w:rPr>
      </w:pPr>
    </w:p>
    <w:p w14:paraId="4EA0E4D0" w14:textId="77777777" w:rsidR="00375119" w:rsidRDefault="00375119" w:rsidP="00375119">
      <w:pPr>
        <w:jc w:val="center"/>
        <w:rPr>
          <w:sz w:val="40"/>
          <w:szCs w:val="40"/>
        </w:rPr>
      </w:pPr>
    </w:p>
    <w:p w14:paraId="0D76E89E" w14:textId="77777777" w:rsidR="00375119" w:rsidRDefault="00375119" w:rsidP="00375119">
      <w:pPr>
        <w:jc w:val="center"/>
        <w:rPr>
          <w:sz w:val="40"/>
          <w:szCs w:val="40"/>
        </w:rPr>
      </w:pPr>
    </w:p>
    <w:p w14:paraId="25C69BD7" w14:textId="77777777" w:rsidR="00375119" w:rsidRDefault="00375119" w:rsidP="00375119">
      <w:pPr>
        <w:jc w:val="center"/>
        <w:rPr>
          <w:sz w:val="40"/>
          <w:szCs w:val="40"/>
        </w:rPr>
      </w:pPr>
    </w:p>
    <w:p w14:paraId="4F55418D" w14:textId="77777777" w:rsidR="00375119" w:rsidRDefault="00375119" w:rsidP="00375119"/>
    <w:p w14:paraId="14C08BC7" w14:textId="77777777" w:rsidR="00375119" w:rsidRDefault="00375119" w:rsidP="00375119"/>
    <w:p w14:paraId="39BF04B2" w14:textId="77777777" w:rsidR="00375119" w:rsidRDefault="00375119" w:rsidP="00375119">
      <w:pPr>
        <w:ind w:left="720" w:firstLine="720"/>
      </w:pPr>
      <w:r>
        <w:rPr>
          <w:noProof/>
        </w:rPr>
        <w:drawing>
          <wp:inline distT="0" distB="0" distL="0" distR="0" wp14:anchorId="2D0952A9" wp14:editId="59B4EB3E">
            <wp:extent cx="1490831" cy="44259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6047" cy="453050"/>
                    </a:xfrm>
                    <a:prstGeom prst="rect">
                      <a:avLst/>
                    </a:prstGeom>
                  </pic:spPr>
                </pic:pic>
              </a:graphicData>
            </a:graphic>
          </wp:inline>
        </w:drawing>
      </w:r>
      <w:r>
        <w:t xml:space="preserve"> </w:t>
      </w:r>
      <w:r>
        <w:tab/>
      </w:r>
      <w:r>
        <w:tab/>
      </w:r>
      <w:r>
        <w:rPr>
          <w:noProof/>
        </w:rPr>
        <w:drawing>
          <wp:inline distT="0" distB="0" distL="0" distR="0" wp14:anchorId="0CB19F2A" wp14:editId="1533C87B">
            <wp:extent cx="537924" cy="511810"/>
            <wp:effectExtent l="0" t="0" r="0" b="2540"/>
            <wp:docPr id="8" name="Afbeelding 8" descr="Hanze medezeggenschap | Lijst STERK – Studentenbelangen Gro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ze medezeggenschap | Lijst STERK – Studentenbelangen Gronin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08" cy="518360"/>
                    </a:xfrm>
                    <a:prstGeom prst="rect">
                      <a:avLst/>
                    </a:prstGeom>
                    <a:noFill/>
                    <a:ln>
                      <a:noFill/>
                    </a:ln>
                  </pic:spPr>
                </pic:pic>
              </a:graphicData>
            </a:graphic>
          </wp:inline>
        </w:drawing>
      </w:r>
      <w:r>
        <w:tab/>
      </w:r>
      <w:r>
        <w:tab/>
      </w:r>
      <w:r>
        <w:tab/>
      </w:r>
      <w:r>
        <w:rPr>
          <w:noProof/>
        </w:rPr>
        <w:drawing>
          <wp:inline distT="0" distB="0" distL="0" distR="0" wp14:anchorId="7E9ECF53" wp14:editId="2D84AFA5">
            <wp:extent cx="654050" cy="6540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p>
    <w:p w14:paraId="5B22681E" w14:textId="2E85EC2A" w:rsidR="00375119" w:rsidRDefault="00375119">
      <w:r>
        <w:rPr>
          <w:noProof/>
        </w:rPr>
        <w:drawing>
          <wp:inline distT="0" distB="0" distL="0" distR="0" wp14:anchorId="56531698" wp14:editId="4C96B443">
            <wp:extent cx="1060450" cy="359229"/>
            <wp:effectExtent l="0" t="0" r="6350" b="3175"/>
            <wp:docPr id="2" name="Afbeelding 2" descr="SOG- Studenten Organisatie Gro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G- Studenten Organisatie Gronin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114" cy="373343"/>
                    </a:xfrm>
                    <a:prstGeom prst="rect">
                      <a:avLst/>
                    </a:prstGeom>
                    <a:noFill/>
                    <a:ln>
                      <a:noFill/>
                    </a:ln>
                  </pic:spPr>
                </pic:pic>
              </a:graphicData>
            </a:graphic>
          </wp:inline>
        </w:drawing>
      </w:r>
      <w:r>
        <w:tab/>
      </w:r>
      <w:r>
        <w:tab/>
        <w:t xml:space="preserve">   </w:t>
      </w:r>
      <w:r>
        <w:rPr>
          <w:noProof/>
        </w:rPr>
        <w:drawing>
          <wp:inline distT="0" distB="0" distL="0" distR="0" wp14:anchorId="4C8E4F85" wp14:editId="0A8D91B6">
            <wp:extent cx="1333327" cy="356651"/>
            <wp:effectExtent l="0" t="0" r="635" b="5715"/>
            <wp:docPr id="4" name="Afbeelding 4" descr="Lijst Calimero | Your diploma. Your future. Our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jst Calimero | Your diploma. Your future. Our prior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666" cy="378676"/>
                    </a:xfrm>
                    <a:prstGeom prst="rect">
                      <a:avLst/>
                    </a:prstGeom>
                    <a:noFill/>
                    <a:ln>
                      <a:noFill/>
                    </a:ln>
                  </pic:spPr>
                </pic:pic>
              </a:graphicData>
            </a:graphic>
          </wp:inline>
        </w:drawing>
      </w:r>
      <w:r>
        <w:t xml:space="preserve"> </w:t>
      </w:r>
      <w:r>
        <w:tab/>
      </w:r>
      <w:r>
        <w:tab/>
      </w:r>
      <w:r>
        <w:rPr>
          <w:noProof/>
        </w:rPr>
        <w:drawing>
          <wp:inline distT="0" distB="0" distL="0" distR="0" wp14:anchorId="741BB846" wp14:editId="6679485E">
            <wp:extent cx="1269556" cy="422275"/>
            <wp:effectExtent l="0" t="0" r="0" b="0"/>
            <wp:docPr id="10" name="Afbeelding 10" descr="Hanze Studentenbelangen Vereniging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ze Studentenbelangen Vereniging - 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000" cy="427412"/>
                    </a:xfrm>
                    <a:prstGeom prst="rect">
                      <a:avLst/>
                    </a:prstGeom>
                    <a:noFill/>
                    <a:ln>
                      <a:noFill/>
                    </a:ln>
                  </pic:spPr>
                </pic:pic>
              </a:graphicData>
            </a:graphic>
          </wp:inline>
        </w:drawing>
      </w:r>
    </w:p>
    <w:p w14:paraId="765D9E8A" w14:textId="4C57B0B2" w:rsidR="00A3453E" w:rsidRPr="00375119" w:rsidRDefault="00DA6528" w:rsidP="00375119">
      <w:pPr>
        <w:ind w:firstLine="120"/>
        <w:rPr>
          <w:u w:val="single"/>
        </w:rPr>
      </w:pPr>
      <w:r>
        <w:rPr>
          <w:u w:val="single"/>
        </w:rPr>
        <w:lastRenderedPageBreak/>
        <w:t>Background</w:t>
      </w:r>
    </w:p>
    <w:p w14:paraId="009808E0" w14:textId="77777777" w:rsidR="00A3453E" w:rsidRDefault="00A3453E">
      <w:pPr>
        <w:pStyle w:val="Plattetekst"/>
        <w:spacing w:before="2"/>
        <w:rPr>
          <w:sz w:val="10"/>
        </w:rPr>
      </w:pPr>
    </w:p>
    <w:p w14:paraId="63992CD9" w14:textId="77777777" w:rsidR="00A3453E" w:rsidRDefault="00DA6528">
      <w:pPr>
        <w:pStyle w:val="Plattetekst"/>
        <w:spacing w:before="56" w:line="259" w:lineRule="auto"/>
        <w:ind w:left="120" w:right="270"/>
      </w:pPr>
      <w:r>
        <w:t xml:space="preserve">COVID19 has impacted student life in universities. In December 2021, a survey was sent out to students across the University of Groningen and </w:t>
      </w:r>
      <w:proofErr w:type="spellStart"/>
      <w:r>
        <w:t>Hanzehogeschool</w:t>
      </w:r>
      <w:proofErr w:type="spellEnd"/>
      <w:r>
        <w:t xml:space="preserve"> to gauge how COVID19 has been impacting their well-being. Both local and international students we</w:t>
      </w:r>
      <w:r>
        <w:t>re invited to participate and provide their input regarding their situation.</w:t>
      </w:r>
    </w:p>
    <w:p w14:paraId="065A78DF" w14:textId="77777777" w:rsidR="00A3453E" w:rsidRDefault="00DA6528">
      <w:pPr>
        <w:pStyle w:val="Plattetekst"/>
        <w:spacing w:before="160"/>
        <w:ind w:left="120"/>
      </w:pPr>
      <w:r>
        <w:rPr>
          <w:u w:val="single"/>
        </w:rPr>
        <w:t>Summary</w:t>
      </w:r>
    </w:p>
    <w:p w14:paraId="57DBC180" w14:textId="77777777" w:rsidR="00A3453E" w:rsidRDefault="00A3453E">
      <w:pPr>
        <w:pStyle w:val="Plattetekst"/>
        <w:spacing w:before="4"/>
        <w:rPr>
          <w:sz w:val="10"/>
        </w:rPr>
      </w:pPr>
    </w:p>
    <w:p w14:paraId="249B3813" w14:textId="77777777" w:rsidR="00A3453E" w:rsidRDefault="00DA6528">
      <w:pPr>
        <w:pStyle w:val="Plattetekst"/>
        <w:spacing w:before="57" w:line="259" w:lineRule="auto"/>
        <w:ind w:left="120" w:right="172"/>
      </w:pPr>
      <w:r>
        <w:t>From the survey responses from student in the University of Groningen, it can be understood that students were doing relatively okay prior to the lockdown in December 202</w:t>
      </w:r>
      <w:r>
        <w:t>1. The lockdown forced students to return back to a more chaotic schedule which impacted their mental health. In addition, student have been more outspoken about going to seek help and provided positive experiences with seeking help. While the difference i</w:t>
      </w:r>
      <w:r>
        <w:t>n responses by Dutch and International students provided similar ranges of response, International students faced greater issues in daily work and sought to obtain help in greater proportions compared to the Dutch students. In general, the support provided</w:t>
      </w:r>
      <w:r>
        <w:t xml:space="preserve"> by the RUG was not seen as adequate, with International students perceiving the support given less than Dutch students.</w:t>
      </w:r>
    </w:p>
    <w:p w14:paraId="71C2EBF1" w14:textId="77777777" w:rsidR="00A3453E" w:rsidRDefault="00DA6528">
      <w:pPr>
        <w:pStyle w:val="Plattetekst"/>
        <w:spacing w:before="157" w:line="259" w:lineRule="auto"/>
        <w:ind w:left="120" w:right="295"/>
      </w:pPr>
      <w:r>
        <w:t>The COVID-19 pandemic highlighted deficiencies within the capacity for students to obtain support for their mental health. We are aware</w:t>
      </w:r>
      <w:r>
        <w:t xml:space="preserve"> that the pandemic is at its closing end now, but this does not mean that the pressure on better mental health will decrease. The urge to better the situation for students still remains a priority, with many students still affected by the pandemic regardin</w:t>
      </w:r>
      <w:r>
        <w:t>g their mental health.</w:t>
      </w:r>
    </w:p>
    <w:p w14:paraId="5DE281D9" w14:textId="77777777" w:rsidR="00A3453E" w:rsidRDefault="00A3453E">
      <w:pPr>
        <w:pStyle w:val="Plattetekst"/>
      </w:pPr>
    </w:p>
    <w:p w14:paraId="559C4111" w14:textId="77777777" w:rsidR="00A3453E" w:rsidRDefault="00A3453E">
      <w:pPr>
        <w:pStyle w:val="Plattetekst"/>
        <w:spacing w:before="11"/>
        <w:rPr>
          <w:sz w:val="27"/>
        </w:rPr>
      </w:pPr>
    </w:p>
    <w:p w14:paraId="6678FDD8" w14:textId="77777777" w:rsidR="00A3453E" w:rsidRDefault="00DA6528">
      <w:pPr>
        <w:pStyle w:val="Plattetekst"/>
        <w:ind w:left="120"/>
      </w:pPr>
      <w:r>
        <w:rPr>
          <w:u w:val="single"/>
        </w:rPr>
        <w:t>Methods</w:t>
      </w:r>
    </w:p>
    <w:p w14:paraId="4AAF2B0C" w14:textId="77777777" w:rsidR="00A3453E" w:rsidRDefault="00A3453E">
      <w:pPr>
        <w:pStyle w:val="Plattetekst"/>
        <w:spacing w:before="2"/>
        <w:rPr>
          <w:sz w:val="10"/>
        </w:rPr>
      </w:pPr>
    </w:p>
    <w:p w14:paraId="3D13548F" w14:textId="77777777" w:rsidR="00A3453E" w:rsidRDefault="00DA6528">
      <w:pPr>
        <w:pStyle w:val="Plattetekst"/>
        <w:spacing w:before="57" w:line="259" w:lineRule="auto"/>
        <w:ind w:left="120" w:right="156"/>
      </w:pPr>
      <w:r>
        <w:t xml:space="preserve">A Google Form was </w:t>
      </w:r>
      <w:proofErr w:type="spellStart"/>
      <w:r>
        <w:t>utilised</w:t>
      </w:r>
      <w:proofErr w:type="spellEnd"/>
      <w:r>
        <w:t xml:space="preserve"> to generate the survey. Questions were included on the well-being of students (e.g. positivity), academic status, health habits (e.g. drug use, drinking), current issues faced and actions taken t</w:t>
      </w:r>
      <w:r>
        <w:t xml:space="preserve">o tackle ongoing issues. The survey was sent out to higher education students across Groningen, which included the University of Groningen and </w:t>
      </w:r>
      <w:proofErr w:type="spellStart"/>
      <w:r>
        <w:t>Hanzehogeschool</w:t>
      </w:r>
      <w:proofErr w:type="spellEnd"/>
      <w:r>
        <w:t xml:space="preserve">. </w:t>
      </w:r>
      <w:proofErr w:type="spellStart"/>
      <w:r>
        <w:t>Categorisation</w:t>
      </w:r>
      <w:proofErr w:type="spellEnd"/>
      <w:r>
        <w:t xml:space="preserve"> between local and international students was determined by the language of respon</w:t>
      </w:r>
      <w:r>
        <w:t>se.</w:t>
      </w:r>
    </w:p>
    <w:p w14:paraId="299FCCB0" w14:textId="77777777" w:rsidR="00A3453E" w:rsidRDefault="00DA6528">
      <w:pPr>
        <w:pStyle w:val="Plattetekst"/>
        <w:spacing w:before="160" w:line="259" w:lineRule="auto"/>
        <w:ind w:left="120" w:right="283"/>
      </w:pPr>
      <w:r>
        <w:t>A descriptive summary of results were generated and stratified according to language of response and university. Categorical questions were converted to rating scale between 1 to 5 (1 denoting the minimum value and 5 denoting the maximum value). Quanti</w:t>
      </w:r>
      <w:r>
        <w:t xml:space="preserve">tative measures pertaining to issues were evaluated. Student comments pertaining to mental health were </w:t>
      </w:r>
      <w:proofErr w:type="spellStart"/>
      <w:r>
        <w:t>summarised</w:t>
      </w:r>
      <w:proofErr w:type="spellEnd"/>
      <w:r>
        <w:t xml:space="preserve"> under snowball sampling, with reoccurring themes presented as an overview table.</w:t>
      </w:r>
    </w:p>
    <w:p w14:paraId="727C5480" w14:textId="77777777" w:rsidR="00A3453E" w:rsidRDefault="00DA6528">
      <w:pPr>
        <w:pStyle w:val="Plattetekst"/>
        <w:spacing w:before="158"/>
        <w:ind w:left="120"/>
      </w:pPr>
      <w:r>
        <w:t>For this report, only data pertaining to students of the Univ</w:t>
      </w:r>
      <w:r>
        <w:t xml:space="preserve">ersity of Groningen were </w:t>
      </w:r>
      <w:proofErr w:type="spellStart"/>
      <w:r>
        <w:t>analysed</w:t>
      </w:r>
      <w:proofErr w:type="spellEnd"/>
      <w:r>
        <w:t>.</w:t>
      </w:r>
    </w:p>
    <w:p w14:paraId="003B67FC" w14:textId="0210D763" w:rsidR="003C4FDD" w:rsidRDefault="00DA6528" w:rsidP="003C4FDD">
      <w:pPr>
        <w:pStyle w:val="Plattetekst"/>
        <w:spacing w:before="183" w:line="259" w:lineRule="auto"/>
        <w:ind w:left="120" w:right="186"/>
      </w:pPr>
      <w:r>
        <w:t>*Disclaimer: Due to the nature of collecting the data and responses, normal distribution was not accounted for all variables. This is considering the variable nature of personal responses pertaining to questions (e.g. changes in study). As such, conclusion</w:t>
      </w:r>
      <w:r>
        <w:t>s derived from these results should keep this point in mind prior.</w:t>
      </w:r>
    </w:p>
    <w:p w14:paraId="1493C90E" w14:textId="77777777" w:rsidR="00A3453E" w:rsidRDefault="00A3453E">
      <w:pPr>
        <w:pStyle w:val="Plattetekst"/>
        <w:spacing w:before="6"/>
        <w:rPr>
          <w:sz w:val="29"/>
        </w:rPr>
      </w:pPr>
    </w:p>
    <w:p w14:paraId="0494ECEA" w14:textId="77777777" w:rsidR="00A3453E" w:rsidRDefault="00DA6528">
      <w:pPr>
        <w:pStyle w:val="Kop1"/>
        <w:spacing w:before="52"/>
        <w:ind w:left="271"/>
      </w:pPr>
      <w:r>
        <w:rPr>
          <w:u w:val="single"/>
        </w:rPr>
        <w:t>Table 1</w:t>
      </w:r>
      <w:r>
        <w:t>: Summary of survey results (n = 481)</w:t>
      </w:r>
    </w:p>
    <w:p w14:paraId="605183C7" w14:textId="77777777" w:rsidR="00A3453E" w:rsidRDefault="00A3453E">
      <w:pPr>
        <w:pStyle w:val="Plattetekst"/>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7"/>
        <w:gridCol w:w="1866"/>
        <w:gridCol w:w="2012"/>
        <w:gridCol w:w="1724"/>
      </w:tblGrid>
      <w:tr w:rsidR="00A3453E" w14:paraId="1EB51C2C" w14:textId="77777777">
        <w:trPr>
          <w:trHeight w:val="292"/>
        </w:trPr>
        <w:tc>
          <w:tcPr>
            <w:tcW w:w="3457" w:type="dxa"/>
            <w:vMerge w:val="restart"/>
            <w:tcBorders>
              <w:top w:val="nil"/>
              <w:left w:val="nil"/>
            </w:tcBorders>
          </w:tcPr>
          <w:p w14:paraId="32396108" w14:textId="77777777" w:rsidR="00A3453E" w:rsidRDefault="00A3453E">
            <w:pPr>
              <w:pStyle w:val="TableParagraph"/>
              <w:spacing w:before="0"/>
              <w:ind w:left="0"/>
              <w:jc w:val="left"/>
              <w:rPr>
                <w:rFonts w:ascii="Times New Roman"/>
              </w:rPr>
            </w:pPr>
          </w:p>
        </w:tc>
        <w:tc>
          <w:tcPr>
            <w:tcW w:w="1866" w:type="dxa"/>
            <w:vMerge w:val="restart"/>
            <w:tcBorders>
              <w:top w:val="nil"/>
            </w:tcBorders>
          </w:tcPr>
          <w:p w14:paraId="5E4C2D6C" w14:textId="77777777" w:rsidR="00A3453E" w:rsidRDefault="00DA6528">
            <w:pPr>
              <w:pStyle w:val="TableParagraph"/>
              <w:spacing w:before="182"/>
              <w:ind w:left="672" w:right="665"/>
              <w:rPr>
                <w:rFonts w:ascii="Arial"/>
                <w:b/>
                <w:sz w:val="20"/>
              </w:rPr>
            </w:pPr>
            <w:r>
              <w:rPr>
                <w:rFonts w:ascii="Arial"/>
                <w:b/>
                <w:sz w:val="20"/>
              </w:rPr>
              <w:t>Total</w:t>
            </w:r>
          </w:p>
        </w:tc>
        <w:tc>
          <w:tcPr>
            <w:tcW w:w="3736" w:type="dxa"/>
            <w:gridSpan w:val="2"/>
            <w:tcBorders>
              <w:top w:val="nil"/>
            </w:tcBorders>
          </w:tcPr>
          <w:p w14:paraId="2B7766F2" w14:textId="77777777" w:rsidR="00A3453E" w:rsidRDefault="00DA6528">
            <w:pPr>
              <w:pStyle w:val="TableParagraph"/>
              <w:spacing w:before="62" w:line="211" w:lineRule="exact"/>
              <w:ind w:left="725"/>
              <w:jc w:val="left"/>
              <w:rPr>
                <w:rFonts w:ascii="Arial"/>
                <w:b/>
                <w:sz w:val="20"/>
              </w:rPr>
            </w:pPr>
            <w:r>
              <w:rPr>
                <w:rFonts w:ascii="Arial"/>
                <w:b/>
                <w:sz w:val="20"/>
              </w:rPr>
              <w:t>University of Groningen</w:t>
            </w:r>
          </w:p>
        </w:tc>
      </w:tr>
      <w:tr w:rsidR="00A3453E" w14:paraId="424ED624" w14:textId="77777777">
        <w:trPr>
          <w:trHeight w:val="294"/>
        </w:trPr>
        <w:tc>
          <w:tcPr>
            <w:tcW w:w="3457" w:type="dxa"/>
            <w:vMerge/>
            <w:tcBorders>
              <w:top w:val="nil"/>
              <w:left w:val="nil"/>
            </w:tcBorders>
          </w:tcPr>
          <w:p w14:paraId="250677B0" w14:textId="77777777" w:rsidR="00A3453E" w:rsidRDefault="00A3453E">
            <w:pPr>
              <w:rPr>
                <w:sz w:val="2"/>
                <w:szCs w:val="2"/>
              </w:rPr>
            </w:pPr>
          </w:p>
        </w:tc>
        <w:tc>
          <w:tcPr>
            <w:tcW w:w="1866" w:type="dxa"/>
            <w:vMerge/>
            <w:tcBorders>
              <w:top w:val="nil"/>
            </w:tcBorders>
          </w:tcPr>
          <w:p w14:paraId="042A5B28" w14:textId="77777777" w:rsidR="00A3453E" w:rsidRDefault="00A3453E">
            <w:pPr>
              <w:rPr>
                <w:sz w:val="2"/>
                <w:szCs w:val="2"/>
              </w:rPr>
            </w:pPr>
          </w:p>
        </w:tc>
        <w:tc>
          <w:tcPr>
            <w:tcW w:w="2012" w:type="dxa"/>
            <w:tcBorders>
              <w:right w:val="nil"/>
            </w:tcBorders>
          </w:tcPr>
          <w:p w14:paraId="67F7B431" w14:textId="77777777" w:rsidR="00A3453E" w:rsidRDefault="00DA6528">
            <w:pPr>
              <w:pStyle w:val="TableParagraph"/>
              <w:spacing w:before="62" w:line="213" w:lineRule="exact"/>
              <w:ind w:left="440"/>
              <w:jc w:val="left"/>
              <w:rPr>
                <w:rFonts w:ascii="Arial"/>
                <w:b/>
                <w:sz w:val="20"/>
              </w:rPr>
            </w:pPr>
            <w:proofErr w:type="spellStart"/>
            <w:r>
              <w:rPr>
                <w:rFonts w:ascii="Arial"/>
                <w:b/>
                <w:sz w:val="20"/>
              </w:rPr>
              <w:t>Nederlands</w:t>
            </w:r>
            <w:proofErr w:type="spellEnd"/>
          </w:p>
        </w:tc>
        <w:tc>
          <w:tcPr>
            <w:tcW w:w="1724" w:type="dxa"/>
            <w:tcBorders>
              <w:left w:val="nil"/>
            </w:tcBorders>
          </w:tcPr>
          <w:p w14:paraId="24C8B184" w14:textId="77777777" w:rsidR="00A3453E" w:rsidRDefault="00DA6528">
            <w:pPr>
              <w:pStyle w:val="TableParagraph"/>
              <w:spacing w:before="62" w:line="213" w:lineRule="exact"/>
              <w:ind w:left="485"/>
              <w:jc w:val="left"/>
              <w:rPr>
                <w:rFonts w:ascii="Arial"/>
                <w:b/>
                <w:sz w:val="20"/>
              </w:rPr>
            </w:pPr>
            <w:r>
              <w:rPr>
                <w:rFonts w:ascii="Arial"/>
                <w:b/>
                <w:sz w:val="20"/>
              </w:rPr>
              <w:t>English</w:t>
            </w:r>
          </w:p>
        </w:tc>
      </w:tr>
    </w:tbl>
    <w:p w14:paraId="6579FDF7" w14:textId="77777777" w:rsidR="00A3453E" w:rsidRDefault="00A3453E">
      <w:pPr>
        <w:spacing w:line="213" w:lineRule="exact"/>
        <w:rPr>
          <w:rFonts w:ascii="Arial"/>
          <w:sz w:val="20"/>
        </w:rPr>
        <w:sectPr w:rsidR="00A3453E">
          <w:type w:val="continuous"/>
          <w:pgSz w:w="11910" w:h="16840"/>
          <w:pgMar w:top="1380" w:right="1280" w:bottom="280" w:left="1320" w:header="708" w:footer="708" w:gutter="0"/>
          <w:cols w:space="708"/>
        </w:sectPr>
      </w:pPr>
    </w:p>
    <w:tbl>
      <w:tblPr>
        <w:tblStyle w:val="TableNormal"/>
        <w:tblW w:w="0" w:type="auto"/>
        <w:tblInd w:w="113" w:type="dxa"/>
        <w:tblLayout w:type="fixed"/>
        <w:tblLook w:val="01E0" w:firstRow="1" w:lastRow="1" w:firstColumn="1" w:lastColumn="1" w:noHBand="0" w:noVBand="0"/>
      </w:tblPr>
      <w:tblGrid>
        <w:gridCol w:w="3471"/>
        <w:gridCol w:w="1865"/>
        <w:gridCol w:w="1949"/>
        <w:gridCol w:w="1785"/>
      </w:tblGrid>
      <w:tr w:rsidR="00A3453E" w14:paraId="6D595740" w14:textId="77777777">
        <w:trPr>
          <w:trHeight w:val="327"/>
        </w:trPr>
        <w:tc>
          <w:tcPr>
            <w:tcW w:w="3471" w:type="dxa"/>
            <w:tcBorders>
              <w:right w:val="single" w:sz="4" w:space="0" w:color="000000"/>
            </w:tcBorders>
          </w:tcPr>
          <w:p w14:paraId="1410D33C" w14:textId="77777777" w:rsidR="00A3453E" w:rsidRDefault="00DA6528">
            <w:pPr>
              <w:pStyle w:val="TableParagraph"/>
              <w:spacing w:before="62"/>
              <w:ind w:left="122"/>
              <w:jc w:val="left"/>
              <w:rPr>
                <w:rFonts w:ascii="Arial"/>
                <w:b/>
                <w:sz w:val="20"/>
              </w:rPr>
            </w:pPr>
            <w:r>
              <w:rPr>
                <w:rFonts w:ascii="Arial"/>
                <w:b/>
                <w:sz w:val="20"/>
              </w:rPr>
              <w:lastRenderedPageBreak/>
              <w:t>Participants</w:t>
            </w:r>
          </w:p>
        </w:tc>
        <w:tc>
          <w:tcPr>
            <w:tcW w:w="1865" w:type="dxa"/>
            <w:tcBorders>
              <w:top w:val="single" w:sz="4" w:space="0" w:color="000000"/>
              <w:left w:val="single" w:sz="4" w:space="0" w:color="000000"/>
              <w:right w:val="single" w:sz="4" w:space="0" w:color="000000"/>
            </w:tcBorders>
          </w:tcPr>
          <w:p w14:paraId="64846ADA" w14:textId="77777777" w:rsidR="00A3453E" w:rsidRDefault="00DA6528">
            <w:pPr>
              <w:pStyle w:val="TableParagraph"/>
              <w:spacing w:before="62"/>
              <w:ind w:left="362" w:right="362"/>
              <w:rPr>
                <w:rFonts w:ascii="Arial"/>
                <w:sz w:val="20"/>
              </w:rPr>
            </w:pPr>
            <w:r>
              <w:rPr>
                <w:rFonts w:ascii="Arial"/>
                <w:sz w:val="20"/>
              </w:rPr>
              <w:t>481</w:t>
            </w:r>
          </w:p>
        </w:tc>
        <w:tc>
          <w:tcPr>
            <w:tcW w:w="1949" w:type="dxa"/>
            <w:tcBorders>
              <w:top w:val="single" w:sz="4" w:space="0" w:color="000000"/>
              <w:left w:val="single" w:sz="4" w:space="0" w:color="000000"/>
            </w:tcBorders>
          </w:tcPr>
          <w:p w14:paraId="47042707" w14:textId="77777777" w:rsidR="00A3453E" w:rsidRDefault="00DA6528">
            <w:pPr>
              <w:pStyle w:val="TableParagraph"/>
              <w:spacing w:before="62"/>
              <w:ind w:left="413" w:right="399"/>
              <w:rPr>
                <w:rFonts w:ascii="Arial"/>
                <w:sz w:val="20"/>
              </w:rPr>
            </w:pPr>
            <w:r>
              <w:rPr>
                <w:rFonts w:ascii="Arial"/>
                <w:sz w:val="20"/>
              </w:rPr>
              <w:t>381</w:t>
            </w:r>
          </w:p>
        </w:tc>
        <w:tc>
          <w:tcPr>
            <w:tcW w:w="1785" w:type="dxa"/>
            <w:tcBorders>
              <w:top w:val="single" w:sz="4" w:space="0" w:color="000000"/>
              <w:right w:val="single" w:sz="4" w:space="0" w:color="000000"/>
            </w:tcBorders>
          </w:tcPr>
          <w:p w14:paraId="055A1EB9" w14:textId="77777777" w:rsidR="00A3453E" w:rsidRDefault="00DA6528">
            <w:pPr>
              <w:pStyle w:val="TableParagraph"/>
              <w:spacing w:before="62"/>
              <w:ind w:right="370"/>
              <w:rPr>
                <w:rFonts w:ascii="Arial"/>
                <w:sz w:val="20"/>
              </w:rPr>
            </w:pPr>
            <w:r>
              <w:rPr>
                <w:rFonts w:ascii="Arial"/>
                <w:sz w:val="20"/>
              </w:rPr>
              <w:t>100</w:t>
            </w:r>
          </w:p>
        </w:tc>
      </w:tr>
      <w:tr w:rsidR="00A3453E" w14:paraId="17624684" w14:textId="77777777">
        <w:trPr>
          <w:trHeight w:val="292"/>
        </w:trPr>
        <w:tc>
          <w:tcPr>
            <w:tcW w:w="3471" w:type="dxa"/>
            <w:tcBorders>
              <w:right w:val="single" w:sz="4" w:space="0" w:color="000000"/>
            </w:tcBorders>
          </w:tcPr>
          <w:p w14:paraId="17752D5C" w14:textId="77777777" w:rsidR="00A3453E" w:rsidRDefault="00DA6528">
            <w:pPr>
              <w:pStyle w:val="TableParagraph"/>
              <w:ind w:left="122"/>
              <w:jc w:val="left"/>
              <w:rPr>
                <w:rFonts w:ascii="Arial"/>
                <w:b/>
                <w:sz w:val="20"/>
              </w:rPr>
            </w:pPr>
            <w:r>
              <w:rPr>
                <w:rFonts w:ascii="Arial"/>
                <w:b/>
                <w:sz w:val="20"/>
              </w:rPr>
              <w:t>1st years (%)</w:t>
            </w:r>
          </w:p>
        </w:tc>
        <w:tc>
          <w:tcPr>
            <w:tcW w:w="1865" w:type="dxa"/>
            <w:tcBorders>
              <w:left w:val="single" w:sz="4" w:space="0" w:color="000000"/>
              <w:right w:val="single" w:sz="4" w:space="0" w:color="000000"/>
            </w:tcBorders>
          </w:tcPr>
          <w:p w14:paraId="0559E6AF" w14:textId="77777777" w:rsidR="00A3453E" w:rsidRDefault="00DA6528">
            <w:pPr>
              <w:pStyle w:val="TableParagraph"/>
              <w:ind w:left="362" w:right="362"/>
              <w:rPr>
                <w:rFonts w:ascii="Arial"/>
                <w:sz w:val="20"/>
              </w:rPr>
            </w:pPr>
            <w:r>
              <w:rPr>
                <w:rFonts w:ascii="Arial"/>
                <w:sz w:val="20"/>
              </w:rPr>
              <w:t>161 (33.5%)</w:t>
            </w:r>
          </w:p>
        </w:tc>
        <w:tc>
          <w:tcPr>
            <w:tcW w:w="1949" w:type="dxa"/>
            <w:tcBorders>
              <w:left w:val="single" w:sz="4" w:space="0" w:color="000000"/>
            </w:tcBorders>
          </w:tcPr>
          <w:p w14:paraId="64F38D41" w14:textId="77777777" w:rsidR="00A3453E" w:rsidRDefault="00DA6528">
            <w:pPr>
              <w:pStyle w:val="TableParagraph"/>
              <w:ind w:left="414" w:right="399"/>
              <w:rPr>
                <w:rFonts w:ascii="Arial"/>
                <w:sz w:val="20"/>
              </w:rPr>
            </w:pPr>
            <w:r>
              <w:rPr>
                <w:rFonts w:ascii="Arial"/>
                <w:sz w:val="20"/>
              </w:rPr>
              <w:t>127 (33.3%)</w:t>
            </w:r>
          </w:p>
        </w:tc>
        <w:tc>
          <w:tcPr>
            <w:tcW w:w="1785" w:type="dxa"/>
            <w:tcBorders>
              <w:right w:val="single" w:sz="4" w:space="0" w:color="000000"/>
            </w:tcBorders>
          </w:tcPr>
          <w:p w14:paraId="6E7EF3F7" w14:textId="77777777" w:rsidR="00A3453E" w:rsidRDefault="00DA6528">
            <w:pPr>
              <w:pStyle w:val="TableParagraph"/>
              <w:ind w:right="369"/>
              <w:rPr>
                <w:rFonts w:ascii="Arial"/>
                <w:sz w:val="20"/>
              </w:rPr>
            </w:pPr>
            <w:r>
              <w:rPr>
                <w:rFonts w:ascii="Arial"/>
                <w:sz w:val="20"/>
              </w:rPr>
              <w:t>34 (34%)</w:t>
            </w:r>
          </w:p>
        </w:tc>
      </w:tr>
      <w:tr w:rsidR="00A3453E" w14:paraId="20464CA9" w14:textId="77777777">
        <w:trPr>
          <w:trHeight w:val="292"/>
        </w:trPr>
        <w:tc>
          <w:tcPr>
            <w:tcW w:w="3471" w:type="dxa"/>
            <w:tcBorders>
              <w:right w:val="single" w:sz="4" w:space="0" w:color="000000"/>
            </w:tcBorders>
          </w:tcPr>
          <w:p w14:paraId="3037EC21" w14:textId="77777777" w:rsidR="00A3453E" w:rsidRDefault="00DA6528">
            <w:pPr>
              <w:pStyle w:val="TableParagraph"/>
              <w:ind w:left="381"/>
              <w:jc w:val="left"/>
              <w:rPr>
                <w:rFonts w:ascii="Arial"/>
                <w:b/>
                <w:sz w:val="20"/>
              </w:rPr>
            </w:pPr>
            <w:r>
              <w:rPr>
                <w:rFonts w:ascii="Arial"/>
                <w:b/>
                <w:sz w:val="20"/>
              </w:rPr>
              <w:t>Obtaining BSA (1 - 5)</w:t>
            </w:r>
          </w:p>
        </w:tc>
        <w:tc>
          <w:tcPr>
            <w:tcW w:w="1865" w:type="dxa"/>
            <w:tcBorders>
              <w:left w:val="single" w:sz="4" w:space="0" w:color="000000"/>
              <w:right w:val="single" w:sz="4" w:space="0" w:color="000000"/>
            </w:tcBorders>
          </w:tcPr>
          <w:p w14:paraId="6C6A6DFA" w14:textId="77777777" w:rsidR="00A3453E" w:rsidRDefault="00DA6528">
            <w:pPr>
              <w:pStyle w:val="TableParagraph"/>
              <w:ind w:left="361" w:right="362"/>
              <w:rPr>
                <w:rFonts w:ascii="Arial"/>
                <w:sz w:val="20"/>
              </w:rPr>
            </w:pPr>
            <w:r>
              <w:rPr>
                <w:rFonts w:ascii="Arial"/>
                <w:sz w:val="20"/>
              </w:rPr>
              <w:t>3.45 (1.04)</w:t>
            </w:r>
          </w:p>
        </w:tc>
        <w:tc>
          <w:tcPr>
            <w:tcW w:w="1949" w:type="dxa"/>
            <w:tcBorders>
              <w:left w:val="single" w:sz="4" w:space="0" w:color="000000"/>
            </w:tcBorders>
          </w:tcPr>
          <w:p w14:paraId="4A09EE4E" w14:textId="77777777" w:rsidR="00A3453E" w:rsidRDefault="00DA6528">
            <w:pPr>
              <w:pStyle w:val="TableParagraph"/>
              <w:ind w:left="412" w:right="399"/>
              <w:rPr>
                <w:rFonts w:ascii="Arial"/>
                <w:sz w:val="20"/>
              </w:rPr>
            </w:pPr>
            <w:r>
              <w:rPr>
                <w:rFonts w:ascii="Arial"/>
                <w:sz w:val="20"/>
              </w:rPr>
              <w:t>3.45 (1.00)</w:t>
            </w:r>
          </w:p>
        </w:tc>
        <w:tc>
          <w:tcPr>
            <w:tcW w:w="1785" w:type="dxa"/>
            <w:tcBorders>
              <w:right w:val="single" w:sz="4" w:space="0" w:color="000000"/>
            </w:tcBorders>
          </w:tcPr>
          <w:p w14:paraId="7A08021F" w14:textId="77777777" w:rsidR="00A3453E" w:rsidRDefault="00DA6528">
            <w:pPr>
              <w:pStyle w:val="TableParagraph"/>
              <w:ind w:right="371"/>
              <w:rPr>
                <w:rFonts w:ascii="Arial"/>
                <w:sz w:val="20"/>
              </w:rPr>
            </w:pPr>
            <w:r>
              <w:rPr>
                <w:rFonts w:ascii="Arial"/>
                <w:sz w:val="20"/>
              </w:rPr>
              <w:t>3.41 (1.33)</w:t>
            </w:r>
          </w:p>
        </w:tc>
      </w:tr>
      <w:tr w:rsidR="00A3453E" w14:paraId="0A3C20A9" w14:textId="77777777">
        <w:trPr>
          <w:trHeight w:val="293"/>
        </w:trPr>
        <w:tc>
          <w:tcPr>
            <w:tcW w:w="3471" w:type="dxa"/>
            <w:tcBorders>
              <w:right w:val="single" w:sz="4" w:space="0" w:color="000000"/>
            </w:tcBorders>
          </w:tcPr>
          <w:p w14:paraId="43F7AA5D" w14:textId="77777777" w:rsidR="00A3453E" w:rsidRDefault="00DA6528">
            <w:pPr>
              <w:pStyle w:val="TableParagraph"/>
              <w:ind w:left="122"/>
              <w:jc w:val="left"/>
              <w:rPr>
                <w:rFonts w:ascii="Arial"/>
                <w:b/>
                <w:sz w:val="20"/>
              </w:rPr>
            </w:pPr>
            <w:r>
              <w:rPr>
                <w:rFonts w:ascii="Arial"/>
                <w:b/>
                <w:sz w:val="20"/>
              </w:rPr>
              <w:t>Study Success (1 - 10)</w:t>
            </w:r>
          </w:p>
        </w:tc>
        <w:tc>
          <w:tcPr>
            <w:tcW w:w="1865" w:type="dxa"/>
            <w:tcBorders>
              <w:left w:val="single" w:sz="4" w:space="0" w:color="000000"/>
              <w:right w:val="single" w:sz="4" w:space="0" w:color="000000"/>
            </w:tcBorders>
          </w:tcPr>
          <w:p w14:paraId="0F4F89C1" w14:textId="77777777" w:rsidR="00A3453E" w:rsidRDefault="00DA6528">
            <w:pPr>
              <w:pStyle w:val="TableParagraph"/>
              <w:ind w:left="361" w:right="362"/>
              <w:rPr>
                <w:rFonts w:ascii="Arial"/>
                <w:sz w:val="20"/>
              </w:rPr>
            </w:pPr>
            <w:r>
              <w:rPr>
                <w:rFonts w:ascii="Arial"/>
                <w:sz w:val="20"/>
              </w:rPr>
              <w:t>6.51 (2.31)</w:t>
            </w:r>
          </w:p>
        </w:tc>
        <w:tc>
          <w:tcPr>
            <w:tcW w:w="1949" w:type="dxa"/>
            <w:tcBorders>
              <w:left w:val="single" w:sz="4" w:space="0" w:color="000000"/>
            </w:tcBorders>
          </w:tcPr>
          <w:p w14:paraId="79646E07" w14:textId="77777777" w:rsidR="00A3453E" w:rsidRDefault="00DA6528">
            <w:pPr>
              <w:pStyle w:val="TableParagraph"/>
              <w:ind w:left="412" w:right="399"/>
              <w:rPr>
                <w:rFonts w:ascii="Arial"/>
                <w:sz w:val="20"/>
              </w:rPr>
            </w:pPr>
            <w:r>
              <w:rPr>
                <w:rFonts w:ascii="Arial"/>
                <w:sz w:val="20"/>
              </w:rPr>
              <w:t>6.52 (2.39)</w:t>
            </w:r>
          </w:p>
        </w:tc>
        <w:tc>
          <w:tcPr>
            <w:tcW w:w="1785" w:type="dxa"/>
            <w:tcBorders>
              <w:right w:val="single" w:sz="4" w:space="0" w:color="000000"/>
            </w:tcBorders>
          </w:tcPr>
          <w:p w14:paraId="1CDDF63C" w14:textId="77777777" w:rsidR="00A3453E" w:rsidRDefault="00DA6528">
            <w:pPr>
              <w:pStyle w:val="TableParagraph"/>
              <w:ind w:right="371"/>
              <w:rPr>
                <w:rFonts w:ascii="Arial"/>
                <w:sz w:val="20"/>
              </w:rPr>
            </w:pPr>
            <w:r>
              <w:rPr>
                <w:rFonts w:ascii="Arial"/>
                <w:sz w:val="20"/>
              </w:rPr>
              <w:t>6.44 (2.33)</w:t>
            </w:r>
          </w:p>
        </w:tc>
      </w:tr>
      <w:tr w:rsidR="00A3453E" w14:paraId="366E231B" w14:textId="77777777">
        <w:trPr>
          <w:trHeight w:val="293"/>
        </w:trPr>
        <w:tc>
          <w:tcPr>
            <w:tcW w:w="3471" w:type="dxa"/>
            <w:tcBorders>
              <w:right w:val="single" w:sz="4" w:space="0" w:color="000000"/>
            </w:tcBorders>
          </w:tcPr>
          <w:p w14:paraId="3FBDA419" w14:textId="77777777" w:rsidR="00A3453E" w:rsidRDefault="00DA6528">
            <w:pPr>
              <w:pStyle w:val="TableParagraph"/>
              <w:spacing w:before="29"/>
              <w:ind w:left="122"/>
              <w:jc w:val="left"/>
              <w:rPr>
                <w:rFonts w:ascii="Arial"/>
                <w:b/>
                <w:sz w:val="20"/>
              </w:rPr>
            </w:pPr>
            <w:r>
              <w:rPr>
                <w:rFonts w:ascii="Arial"/>
                <w:b/>
                <w:sz w:val="20"/>
              </w:rPr>
              <w:t>Change (1 - 5)</w:t>
            </w:r>
          </w:p>
        </w:tc>
        <w:tc>
          <w:tcPr>
            <w:tcW w:w="1865" w:type="dxa"/>
            <w:tcBorders>
              <w:left w:val="single" w:sz="4" w:space="0" w:color="000000"/>
              <w:right w:val="single" w:sz="4" w:space="0" w:color="000000"/>
            </w:tcBorders>
          </w:tcPr>
          <w:p w14:paraId="694D2F77" w14:textId="77777777" w:rsidR="00A3453E" w:rsidRDefault="00DA6528">
            <w:pPr>
              <w:pStyle w:val="TableParagraph"/>
              <w:spacing w:before="29"/>
              <w:ind w:left="361" w:right="362"/>
              <w:rPr>
                <w:rFonts w:ascii="Arial"/>
                <w:sz w:val="20"/>
              </w:rPr>
            </w:pPr>
            <w:r>
              <w:rPr>
                <w:rFonts w:ascii="Arial"/>
                <w:sz w:val="20"/>
              </w:rPr>
              <w:t>3.44 (1.04)</w:t>
            </w:r>
          </w:p>
        </w:tc>
        <w:tc>
          <w:tcPr>
            <w:tcW w:w="1949" w:type="dxa"/>
            <w:tcBorders>
              <w:left w:val="single" w:sz="4" w:space="0" w:color="000000"/>
            </w:tcBorders>
          </w:tcPr>
          <w:p w14:paraId="5122E702" w14:textId="77777777" w:rsidR="00A3453E" w:rsidRDefault="00DA6528">
            <w:pPr>
              <w:pStyle w:val="TableParagraph"/>
              <w:spacing w:before="29"/>
              <w:ind w:left="412" w:right="399"/>
              <w:rPr>
                <w:rFonts w:ascii="Arial"/>
                <w:sz w:val="20"/>
              </w:rPr>
            </w:pPr>
            <w:r>
              <w:rPr>
                <w:rFonts w:ascii="Arial"/>
                <w:sz w:val="20"/>
              </w:rPr>
              <w:t>3.44 (1.05)</w:t>
            </w:r>
          </w:p>
        </w:tc>
        <w:tc>
          <w:tcPr>
            <w:tcW w:w="1785" w:type="dxa"/>
            <w:tcBorders>
              <w:right w:val="single" w:sz="4" w:space="0" w:color="000000"/>
            </w:tcBorders>
          </w:tcPr>
          <w:p w14:paraId="43051E74" w14:textId="77777777" w:rsidR="00A3453E" w:rsidRDefault="00DA6528">
            <w:pPr>
              <w:pStyle w:val="TableParagraph"/>
              <w:spacing w:before="29"/>
              <w:ind w:right="371"/>
              <w:rPr>
                <w:rFonts w:ascii="Arial"/>
                <w:sz w:val="20"/>
              </w:rPr>
            </w:pPr>
            <w:r>
              <w:rPr>
                <w:rFonts w:ascii="Arial"/>
                <w:sz w:val="20"/>
              </w:rPr>
              <w:t>3.45 (1.14)</w:t>
            </w:r>
          </w:p>
        </w:tc>
      </w:tr>
      <w:tr w:rsidR="00A3453E" w14:paraId="33DDA9F9" w14:textId="77777777">
        <w:trPr>
          <w:trHeight w:val="292"/>
        </w:trPr>
        <w:tc>
          <w:tcPr>
            <w:tcW w:w="3471" w:type="dxa"/>
            <w:tcBorders>
              <w:right w:val="single" w:sz="4" w:space="0" w:color="000000"/>
            </w:tcBorders>
          </w:tcPr>
          <w:p w14:paraId="3A4589EB" w14:textId="77777777" w:rsidR="00A3453E" w:rsidRDefault="00DA6528">
            <w:pPr>
              <w:pStyle w:val="TableParagraph"/>
              <w:ind w:left="122"/>
              <w:jc w:val="left"/>
              <w:rPr>
                <w:rFonts w:ascii="Arial"/>
                <w:b/>
                <w:sz w:val="20"/>
              </w:rPr>
            </w:pPr>
            <w:r>
              <w:rPr>
                <w:rFonts w:ascii="Arial"/>
                <w:b/>
                <w:sz w:val="20"/>
              </w:rPr>
              <w:t>Physical grade</w:t>
            </w:r>
          </w:p>
        </w:tc>
        <w:tc>
          <w:tcPr>
            <w:tcW w:w="1865" w:type="dxa"/>
            <w:tcBorders>
              <w:left w:val="single" w:sz="4" w:space="0" w:color="000000"/>
              <w:right w:val="single" w:sz="4" w:space="0" w:color="000000"/>
            </w:tcBorders>
          </w:tcPr>
          <w:p w14:paraId="18C8BE50" w14:textId="77777777" w:rsidR="00A3453E" w:rsidRDefault="00DA6528">
            <w:pPr>
              <w:pStyle w:val="TableParagraph"/>
              <w:ind w:left="361" w:right="362"/>
              <w:rPr>
                <w:rFonts w:ascii="Arial"/>
                <w:sz w:val="20"/>
              </w:rPr>
            </w:pPr>
            <w:r>
              <w:rPr>
                <w:rFonts w:ascii="Arial"/>
                <w:sz w:val="20"/>
              </w:rPr>
              <w:t>5.75 (2.04)</w:t>
            </w:r>
          </w:p>
        </w:tc>
        <w:tc>
          <w:tcPr>
            <w:tcW w:w="1949" w:type="dxa"/>
            <w:tcBorders>
              <w:left w:val="single" w:sz="4" w:space="0" w:color="000000"/>
            </w:tcBorders>
          </w:tcPr>
          <w:p w14:paraId="6839B08B" w14:textId="77777777" w:rsidR="00A3453E" w:rsidRDefault="00DA6528">
            <w:pPr>
              <w:pStyle w:val="TableParagraph"/>
              <w:ind w:left="412" w:right="399"/>
              <w:rPr>
                <w:rFonts w:ascii="Arial"/>
                <w:sz w:val="20"/>
              </w:rPr>
            </w:pPr>
            <w:r>
              <w:rPr>
                <w:rFonts w:ascii="Arial"/>
                <w:sz w:val="20"/>
              </w:rPr>
              <w:t>5.80 (1.99)</w:t>
            </w:r>
          </w:p>
        </w:tc>
        <w:tc>
          <w:tcPr>
            <w:tcW w:w="1785" w:type="dxa"/>
            <w:tcBorders>
              <w:right w:val="single" w:sz="4" w:space="0" w:color="000000"/>
            </w:tcBorders>
          </w:tcPr>
          <w:p w14:paraId="0836A828" w14:textId="77777777" w:rsidR="00A3453E" w:rsidRDefault="00DA6528">
            <w:pPr>
              <w:pStyle w:val="TableParagraph"/>
              <w:ind w:right="371"/>
              <w:rPr>
                <w:rFonts w:ascii="Arial"/>
                <w:sz w:val="20"/>
              </w:rPr>
            </w:pPr>
            <w:r>
              <w:rPr>
                <w:rFonts w:ascii="Arial"/>
                <w:sz w:val="20"/>
              </w:rPr>
              <w:t>5.54 (2.41)</w:t>
            </w:r>
          </w:p>
        </w:tc>
      </w:tr>
      <w:tr w:rsidR="00A3453E" w14:paraId="201AB2E1" w14:textId="77777777">
        <w:trPr>
          <w:trHeight w:val="292"/>
        </w:trPr>
        <w:tc>
          <w:tcPr>
            <w:tcW w:w="3471" w:type="dxa"/>
            <w:tcBorders>
              <w:right w:val="single" w:sz="4" w:space="0" w:color="000000"/>
            </w:tcBorders>
          </w:tcPr>
          <w:p w14:paraId="59CE8C13" w14:textId="77777777" w:rsidR="00A3453E" w:rsidRDefault="00DA6528">
            <w:pPr>
              <w:pStyle w:val="TableParagraph"/>
              <w:ind w:left="122"/>
              <w:jc w:val="left"/>
              <w:rPr>
                <w:rFonts w:ascii="Arial"/>
                <w:b/>
                <w:sz w:val="20"/>
              </w:rPr>
            </w:pPr>
            <w:r>
              <w:rPr>
                <w:rFonts w:ascii="Arial"/>
                <w:b/>
                <w:sz w:val="20"/>
              </w:rPr>
              <w:t>Drinking</w:t>
            </w:r>
          </w:p>
        </w:tc>
        <w:tc>
          <w:tcPr>
            <w:tcW w:w="1865" w:type="dxa"/>
            <w:tcBorders>
              <w:left w:val="single" w:sz="4" w:space="0" w:color="000000"/>
              <w:right w:val="single" w:sz="4" w:space="0" w:color="000000"/>
            </w:tcBorders>
          </w:tcPr>
          <w:p w14:paraId="63E08DD7" w14:textId="77777777" w:rsidR="00A3453E" w:rsidRDefault="00DA6528">
            <w:pPr>
              <w:pStyle w:val="TableParagraph"/>
              <w:ind w:left="361" w:right="362"/>
              <w:rPr>
                <w:rFonts w:ascii="Arial"/>
                <w:sz w:val="20"/>
              </w:rPr>
            </w:pPr>
            <w:r>
              <w:rPr>
                <w:rFonts w:ascii="Arial"/>
                <w:sz w:val="20"/>
              </w:rPr>
              <w:t>1.63 (1.1)</w:t>
            </w:r>
          </w:p>
        </w:tc>
        <w:tc>
          <w:tcPr>
            <w:tcW w:w="1949" w:type="dxa"/>
            <w:tcBorders>
              <w:left w:val="single" w:sz="4" w:space="0" w:color="000000"/>
            </w:tcBorders>
          </w:tcPr>
          <w:p w14:paraId="38AE623F" w14:textId="77777777" w:rsidR="00A3453E" w:rsidRDefault="00DA6528">
            <w:pPr>
              <w:pStyle w:val="TableParagraph"/>
              <w:ind w:left="412" w:right="399"/>
              <w:rPr>
                <w:rFonts w:ascii="Arial"/>
                <w:sz w:val="20"/>
              </w:rPr>
            </w:pPr>
            <w:r>
              <w:rPr>
                <w:rFonts w:ascii="Arial"/>
                <w:sz w:val="20"/>
              </w:rPr>
              <w:t>1.71 (1.16)</w:t>
            </w:r>
          </w:p>
        </w:tc>
        <w:tc>
          <w:tcPr>
            <w:tcW w:w="1785" w:type="dxa"/>
            <w:tcBorders>
              <w:right w:val="single" w:sz="4" w:space="0" w:color="000000"/>
            </w:tcBorders>
          </w:tcPr>
          <w:p w14:paraId="14FBEF5E" w14:textId="77777777" w:rsidR="00A3453E" w:rsidRDefault="00DA6528">
            <w:pPr>
              <w:pStyle w:val="TableParagraph"/>
              <w:ind w:right="371"/>
              <w:rPr>
                <w:rFonts w:ascii="Arial"/>
                <w:sz w:val="20"/>
              </w:rPr>
            </w:pPr>
            <w:r>
              <w:rPr>
                <w:rFonts w:ascii="Arial"/>
                <w:sz w:val="20"/>
              </w:rPr>
              <w:t>1.36 (0.79)</w:t>
            </w:r>
          </w:p>
        </w:tc>
      </w:tr>
      <w:tr w:rsidR="00A3453E" w14:paraId="34681458" w14:textId="77777777">
        <w:trPr>
          <w:trHeight w:val="292"/>
        </w:trPr>
        <w:tc>
          <w:tcPr>
            <w:tcW w:w="3471" w:type="dxa"/>
            <w:tcBorders>
              <w:right w:val="single" w:sz="4" w:space="0" w:color="000000"/>
            </w:tcBorders>
          </w:tcPr>
          <w:p w14:paraId="3B4D3163" w14:textId="77777777" w:rsidR="00A3453E" w:rsidRDefault="00DA6528">
            <w:pPr>
              <w:pStyle w:val="TableParagraph"/>
              <w:ind w:left="122"/>
              <w:jc w:val="left"/>
              <w:rPr>
                <w:rFonts w:ascii="Arial"/>
                <w:b/>
                <w:sz w:val="20"/>
              </w:rPr>
            </w:pPr>
            <w:r>
              <w:rPr>
                <w:rFonts w:ascii="Arial"/>
                <w:b/>
                <w:sz w:val="20"/>
              </w:rPr>
              <w:t>Soft drug use (Yes, %)</w:t>
            </w:r>
          </w:p>
        </w:tc>
        <w:tc>
          <w:tcPr>
            <w:tcW w:w="1865" w:type="dxa"/>
            <w:tcBorders>
              <w:left w:val="single" w:sz="4" w:space="0" w:color="000000"/>
              <w:right w:val="single" w:sz="4" w:space="0" w:color="000000"/>
            </w:tcBorders>
          </w:tcPr>
          <w:p w14:paraId="1B6C8007" w14:textId="77777777" w:rsidR="00A3453E" w:rsidRDefault="00DA6528">
            <w:pPr>
              <w:pStyle w:val="TableParagraph"/>
              <w:ind w:left="361" w:right="362"/>
              <w:rPr>
                <w:rFonts w:ascii="Arial"/>
                <w:sz w:val="20"/>
              </w:rPr>
            </w:pPr>
            <w:r>
              <w:rPr>
                <w:rFonts w:ascii="Arial"/>
                <w:sz w:val="20"/>
              </w:rPr>
              <w:t>158 (32.8%)</w:t>
            </w:r>
          </w:p>
        </w:tc>
        <w:tc>
          <w:tcPr>
            <w:tcW w:w="1949" w:type="dxa"/>
            <w:tcBorders>
              <w:left w:val="single" w:sz="4" w:space="0" w:color="000000"/>
            </w:tcBorders>
          </w:tcPr>
          <w:p w14:paraId="2C7856F3" w14:textId="77777777" w:rsidR="00A3453E" w:rsidRDefault="00DA6528">
            <w:pPr>
              <w:pStyle w:val="TableParagraph"/>
              <w:ind w:left="414" w:right="399"/>
              <w:rPr>
                <w:rFonts w:ascii="Arial"/>
                <w:sz w:val="20"/>
              </w:rPr>
            </w:pPr>
            <w:r>
              <w:rPr>
                <w:rFonts w:ascii="Arial"/>
                <w:sz w:val="20"/>
              </w:rPr>
              <w:t>121 (31.8%)</w:t>
            </w:r>
          </w:p>
        </w:tc>
        <w:tc>
          <w:tcPr>
            <w:tcW w:w="1785" w:type="dxa"/>
            <w:tcBorders>
              <w:right w:val="single" w:sz="4" w:space="0" w:color="000000"/>
            </w:tcBorders>
          </w:tcPr>
          <w:p w14:paraId="1FAC69EB" w14:textId="77777777" w:rsidR="00A3453E" w:rsidRDefault="00DA6528">
            <w:pPr>
              <w:pStyle w:val="TableParagraph"/>
              <w:ind w:right="369"/>
              <w:rPr>
                <w:rFonts w:ascii="Arial"/>
                <w:sz w:val="20"/>
              </w:rPr>
            </w:pPr>
            <w:r>
              <w:rPr>
                <w:rFonts w:ascii="Arial"/>
                <w:sz w:val="20"/>
              </w:rPr>
              <w:t>37 (37%)</w:t>
            </w:r>
          </w:p>
        </w:tc>
      </w:tr>
      <w:tr w:rsidR="00A3453E" w14:paraId="23CBAB4A" w14:textId="77777777">
        <w:trPr>
          <w:trHeight w:val="292"/>
        </w:trPr>
        <w:tc>
          <w:tcPr>
            <w:tcW w:w="3471" w:type="dxa"/>
            <w:tcBorders>
              <w:right w:val="single" w:sz="4" w:space="0" w:color="000000"/>
            </w:tcBorders>
          </w:tcPr>
          <w:p w14:paraId="17E141BF" w14:textId="77777777" w:rsidR="00A3453E" w:rsidRDefault="00DA6528">
            <w:pPr>
              <w:pStyle w:val="TableParagraph"/>
              <w:ind w:left="122"/>
              <w:jc w:val="left"/>
              <w:rPr>
                <w:rFonts w:ascii="Arial"/>
                <w:b/>
                <w:sz w:val="20"/>
              </w:rPr>
            </w:pPr>
            <w:r>
              <w:rPr>
                <w:rFonts w:ascii="Arial"/>
                <w:b/>
                <w:sz w:val="20"/>
              </w:rPr>
              <w:t>Hard drug use (Yes, %)</w:t>
            </w:r>
          </w:p>
        </w:tc>
        <w:tc>
          <w:tcPr>
            <w:tcW w:w="1865" w:type="dxa"/>
            <w:tcBorders>
              <w:left w:val="single" w:sz="4" w:space="0" w:color="000000"/>
              <w:right w:val="single" w:sz="4" w:space="0" w:color="000000"/>
            </w:tcBorders>
          </w:tcPr>
          <w:p w14:paraId="37A404B1" w14:textId="77777777" w:rsidR="00A3453E" w:rsidRDefault="00DA6528">
            <w:pPr>
              <w:pStyle w:val="TableParagraph"/>
              <w:ind w:left="362" w:right="362"/>
              <w:rPr>
                <w:rFonts w:ascii="Arial"/>
                <w:sz w:val="20"/>
              </w:rPr>
            </w:pPr>
            <w:r>
              <w:rPr>
                <w:rFonts w:ascii="Arial"/>
                <w:sz w:val="20"/>
              </w:rPr>
              <w:t>94 (19.5%)</w:t>
            </w:r>
          </w:p>
        </w:tc>
        <w:tc>
          <w:tcPr>
            <w:tcW w:w="1949" w:type="dxa"/>
            <w:tcBorders>
              <w:left w:val="single" w:sz="4" w:space="0" w:color="000000"/>
            </w:tcBorders>
          </w:tcPr>
          <w:p w14:paraId="2A54DF02" w14:textId="77777777" w:rsidR="00A3453E" w:rsidRDefault="00DA6528">
            <w:pPr>
              <w:pStyle w:val="TableParagraph"/>
              <w:ind w:left="413" w:right="399"/>
              <w:rPr>
                <w:rFonts w:ascii="Arial"/>
                <w:sz w:val="20"/>
              </w:rPr>
            </w:pPr>
            <w:r>
              <w:rPr>
                <w:rFonts w:ascii="Arial"/>
                <w:sz w:val="20"/>
              </w:rPr>
              <w:t>84 (22%)</w:t>
            </w:r>
          </w:p>
        </w:tc>
        <w:tc>
          <w:tcPr>
            <w:tcW w:w="1785" w:type="dxa"/>
            <w:tcBorders>
              <w:right w:val="single" w:sz="4" w:space="0" w:color="000000"/>
            </w:tcBorders>
          </w:tcPr>
          <w:p w14:paraId="14FC0800" w14:textId="77777777" w:rsidR="00A3453E" w:rsidRDefault="00DA6528">
            <w:pPr>
              <w:pStyle w:val="TableParagraph"/>
              <w:ind w:right="369"/>
              <w:rPr>
                <w:rFonts w:ascii="Arial"/>
                <w:sz w:val="20"/>
              </w:rPr>
            </w:pPr>
            <w:r>
              <w:rPr>
                <w:rFonts w:ascii="Arial"/>
                <w:sz w:val="20"/>
              </w:rPr>
              <w:t>10 (10%)</w:t>
            </w:r>
          </w:p>
        </w:tc>
      </w:tr>
      <w:tr w:rsidR="00A3453E" w14:paraId="5A3DA235" w14:textId="77777777">
        <w:trPr>
          <w:trHeight w:val="292"/>
        </w:trPr>
        <w:tc>
          <w:tcPr>
            <w:tcW w:w="3471" w:type="dxa"/>
            <w:tcBorders>
              <w:right w:val="single" w:sz="4" w:space="0" w:color="000000"/>
            </w:tcBorders>
          </w:tcPr>
          <w:p w14:paraId="5776EDB4" w14:textId="77777777" w:rsidR="00A3453E" w:rsidRDefault="00DA6528">
            <w:pPr>
              <w:pStyle w:val="TableParagraph"/>
              <w:ind w:left="122"/>
              <w:jc w:val="left"/>
              <w:rPr>
                <w:rFonts w:ascii="Arial"/>
                <w:b/>
                <w:sz w:val="20"/>
              </w:rPr>
            </w:pPr>
            <w:r>
              <w:rPr>
                <w:rFonts w:ascii="Arial"/>
                <w:b/>
                <w:sz w:val="20"/>
              </w:rPr>
              <w:t>Sleep (1 - 10)</w:t>
            </w:r>
          </w:p>
        </w:tc>
        <w:tc>
          <w:tcPr>
            <w:tcW w:w="1865" w:type="dxa"/>
            <w:tcBorders>
              <w:left w:val="single" w:sz="4" w:space="0" w:color="000000"/>
              <w:right w:val="single" w:sz="4" w:space="0" w:color="000000"/>
            </w:tcBorders>
          </w:tcPr>
          <w:p w14:paraId="0889F899" w14:textId="77777777" w:rsidR="00A3453E" w:rsidRDefault="00DA6528">
            <w:pPr>
              <w:pStyle w:val="TableParagraph"/>
              <w:ind w:left="361" w:right="362"/>
              <w:rPr>
                <w:rFonts w:ascii="Arial"/>
                <w:sz w:val="20"/>
              </w:rPr>
            </w:pPr>
            <w:r>
              <w:rPr>
                <w:rFonts w:ascii="Arial"/>
                <w:sz w:val="20"/>
              </w:rPr>
              <w:t>6.23 (2.09)</w:t>
            </w:r>
          </w:p>
        </w:tc>
        <w:tc>
          <w:tcPr>
            <w:tcW w:w="1949" w:type="dxa"/>
            <w:tcBorders>
              <w:left w:val="single" w:sz="4" w:space="0" w:color="000000"/>
            </w:tcBorders>
          </w:tcPr>
          <w:p w14:paraId="3012AFC5" w14:textId="77777777" w:rsidR="00A3453E" w:rsidRDefault="00DA6528">
            <w:pPr>
              <w:pStyle w:val="TableParagraph"/>
              <w:ind w:left="412" w:right="399"/>
              <w:rPr>
                <w:rFonts w:ascii="Arial"/>
                <w:sz w:val="20"/>
              </w:rPr>
            </w:pPr>
            <w:r>
              <w:rPr>
                <w:rFonts w:ascii="Arial"/>
                <w:sz w:val="20"/>
              </w:rPr>
              <w:t>6.33 (2.07)</w:t>
            </w:r>
          </w:p>
        </w:tc>
        <w:tc>
          <w:tcPr>
            <w:tcW w:w="1785" w:type="dxa"/>
            <w:tcBorders>
              <w:right w:val="single" w:sz="4" w:space="0" w:color="000000"/>
            </w:tcBorders>
          </w:tcPr>
          <w:p w14:paraId="57EDD628" w14:textId="77777777" w:rsidR="00A3453E" w:rsidRDefault="00DA6528">
            <w:pPr>
              <w:pStyle w:val="TableParagraph"/>
              <w:ind w:right="371"/>
              <w:rPr>
                <w:rFonts w:ascii="Arial"/>
                <w:sz w:val="20"/>
              </w:rPr>
            </w:pPr>
            <w:r>
              <w:rPr>
                <w:rFonts w:ascii="Arial"/>
                <w:sz w:val="20"/>
              </w:rPr>
              <w:t>5.83 (2.42)</w:t>
            </w:r>
          </w:p>
        </w:tc>
      </w:tr>
      <w:tr w:rsidR="00A3453E" w14:paraId="257D3A2C" w14:textId="77777777">
        <w:trPr>
          <w:trHeight w:val="292"/>
        </w:trPr>
        <w:tc>
          <w:tcPr>
            <w:tcW w:w="3471" w:type="dxa"/>
            <w:tcBorders>
              <w:right w:val="single" w:sz="4" w:space="0" w:color="000000"/>
            </w:tcBorders>
          </w:tcPr>
          <w:p w14:paraId="0984B7C1" w14:textId="77777777" w:rsidR="00A3453E" w:rsidRDefault="00DA6528">
            <w:pPr>
              <w:pStyle w:val="TableParagraph"/>
              <w:ind w:left="122"/>
              <w:jc w:val="left"/>
              <w:rPr>
                <w:rFonts w:ascii="Arial"/>
                <w:b/>
                <w:sz w:val="20"/>
              </w:rPr>
            </w:pPr>
            <w:r>
              <w:rPr>
                <w:rFonts w:ascii="Arial"/>
                <w:b/>
                <w:sz w:val="20"/>
              </w:rPr>
              <w:t>Mental Health (1 - 10)</w:t>
            </w:r>
          </w:p>
        </w:tc>
        <w:tc>
          <w:tcPr>
            <w:tcW w:w="1865" w:type="dxa"/>
            <w:tcBorders>
              <w:left w:val="single" w:sz="4" w:space="0" w:color="000000"/>
              <w:right w:val="single" w:sz="4" w:space="0" w:color="000000"/>
            </w:tcBorders>
          </w:tcPr>
          <w:p w14:paraId="438A1B30" w14:textId="77777777" w:rsidR="00A3453E" w:rsidRDefault="00DA6528">
            <w:pPr>
              <w:pStyle w:val="TableParagraph"/>
              <w:ind w:left="361" w:right="362"/>
              <w:rPr>
                <w:rFonts w:ascii="Arial"/>
                <w:sz w:val="20"/>
              </w:rPr>
            </w:pPr>
            <w:r>
              <w:rPr>
                <w:rFonts w:ascii="Arial"/>
                <w:sz w:val="20"/>
              </w:rPr>
              <w:t>5.09 (1.99)</w:t>
            </w:r>
          </w:p>
        </w:tc>
        <w:tc>
          <w:tcPr>
            <w:tcW w:w="1949" w:type="dxa"/>
            <w:tcBorders>
              <w:left w:val="single" w:sz="4" w:space="0" w:color="000000"/>
            </w:tcBorders>
          </w:tcPr>
          <w:p w14:paraId="2441E37F" w14:textId="77777777" w:rsidR="00A3453E" w:rsidRDefault="00DA6528">
            <w:pPr>
              <w:pStyle w:val="TableParagraph"/>
              <w:ind w:left="412" w:right="399"/>
              <w:rPr>
                <w:rFonts w:ascii="Arial"/>
                <w:sz w:val="20"/>
              </w:rPr>
            </w:pPr>
            <w:r>
              <w:rPr>
                <w:rFonts w:ascii="Arial"/>
                <w:sz w:val="20"/>
              </w:rPr>
              <w:t>5.18 (1.98)</w:t>
            </w:r>
          </w:p>
        </w:tc>
        <w:tc>
          <w:tcPr>
            <w:tcW w:w="1785" w:type="dxa"/>
            <w:tcBorders>
              <w:right w:val="single" w:sz="4" w:space="0" w:color="000000"/>
            </w:tcBorders>
          </w:tcPr>
          <w:p w14:paraId="0EC13790" w14:textId="77777777" w:rsidR="00A3453E" w:rsidRDefault="00DA6528">
            <w:pPr>
              <w:pStyle w:val="TableParagraph"/>
              <w:ind w:right="371"/>
              <w:rPr>
                <w:rFonts w:ascii="Arial"/>
                <w:sz w:val="20"/>
              </w:rPr>
            </w:pPr>
            <w:r>
              <w:rPr>
                <w:rFonts w:ascii="Arial"/>
                <w:sz w:val="20"/>
              </w:rPr>
              <w:t>4.73 (2.29)</w:t>
            </w:r>
          </w:p>
        </w:tc>
      </w:tr>
      <w:tr w:rsidR="00A3453E" w14:paraId="38BDF3B8" w14:textId="77777777">
        <w:trPr>
          <w:trHeight w:val="292"/>
        </w:trPr>
        <w:tc>
          <w:tcPr>
            <w:tcW w:w="3471" w:type="dxa"/>
            <w:tcBorders>
              <w:right w:val="single" w:sz="4" w:space="0" w:color="000000"/>
            </w:tcBorders>
          </w:tcPr>
          <w:p w14:paraId="502D7FED" w14:textId="77777777" w:rsidR="00A3453E" w:rsidRDefault="00DA6528">
            <w:pPr>
              <w:pStyle w:val="TableParagraph"/>
              <w:ind w:left="122"/>
              <w:jc w:val="left"/>
              <w:rPr>
                <w:rFonts w:ascii="Arial"/>
                <w:b/>
                <w:sz w:val="20"/>
              </w:rPr>
            </w:pPr>
            <w:r>
              <w:rPr>
                <w:rFonts w:ascii="Arial"/>
                <w:b/>
                <w:sz w:val="20"/>
              </w:rPr>
              <w:t>Positivity (1- 5)</w:t>
            </w:r>
          </w:p>
        </w:tc>
        <w:tc>
          <w:tcPr>
            <w:tcW w:w="1865" w:type="dxa"/>
            <w:tcBorders>
              <w:left w:val="single" w:sz="4" w:space="0" w:color="000000"/>
              <w:right w:val="single" w:sz="4" w:space="0" w:color="000000"/>
            </w:tcBorders>
          </w:tcPr>
          <w:p w14:paraId="7C918E0C" w14:textId="77777777" w:rsidR="00A3453E" w:rsidRDefault="00DA6528">
            <w:pPr>
              <w:pStyle w:val="TableParagraph"/>
              <w:ind w:left="361" w:right="362"/>
              <w:rPr>
                <w:rFonts w:ascii="Arial"/>
                <w:sz w:val="20"/>
              </w:rPr>
            </w:pPr>
            <w:r>
              <w:rPr>
                <w:rFonts w:ascii="Arial"/>
                <w:sz w:val="20"/>
              </w:rPr>
              <w:t>1.93 (0.88)</w:t>
            </w:r>
          </w:p>
        </w:tc>
        <w:tc>
          <w:tcPr>
            <w:tcW w:w="1949" w:type="dxa"/>
            <w:tcBorders>
              <w:left w:val="single" w:sz="4" w:space="0" w:color="000000"/>
            </w:tcBorders>
          </w:tcPr>
          <w:p w14:paraId="77035239" w14:textId="77777777" w:rsidR="00A3453E" w:rsidRDefault="00DA6528">
            <w:pPr>
              <w:pStyle w:val="TableParagraph"/>
              <w:ind w:left="412" w:right="399"/>
              <w:rPr>
                <w:rFonts w:ascii="Arial"/>
                <w:sz w:val="20"/>
              </w:rPr>
            </w:pPr>
            <w:r>
              <w:rPr>
                <w:rFonts w:ascii="Arial"/>
                <w:sz w:val="20"/>
              </w:rPr>
              <w:t>1.98 (0.93)</w:t>
            </w:r>
          </w:p>
        </w:tc>
        <w:tc>
          <w:tcPr>
            <w:tcW w:w="1785" w:type="dxa"/>
            <w:tcBorders>
              <w:right w:val="single" w:sz="4" w:space="0" w:color="000000"/>
            </w:tcBorders>
          </w:tcPr>
          <w:p w14:paraId="55765C40" w14:textId="77777777" w:rsidR="00A3453E" w:rsidRDefault="00DA6528">
            <w:pPr>
              <w:pStyle w:val="TableParagraph"/>
              <w:ind w:right="371"/>
              <w:rPr>
                <w:rFonts w:ascii="Arial"/>
                <w:sz w:val="20"/>
              </w:rPr>
            </w:pPr>
            <w:r>
              <w:rPr>
                <w:rFonts w:ascii="Arial"/>
                <w:sz w:val="20"/>
              </w:rPr>
              <w:t>1.72 (0.96)</w:t>
            </w:r>
          </w:p>
        </w:tc>
      </w:tr>
      <w:tr w:rsidR="00A3453E" w14:paraId="58C3751E" w14:textId="77777777">
        <w:trPr>
          <w:trHeight w:val="293"/>
        </w:trPr>
        <w:tc>
          <w:tcPr>
            <w:tcW w:w="3471" w:type="dxa"/>
            <w:tcBorders>
              <w:right w:val="single" w:sz="4" w:space="0" w:color="000000"/>
            </w:tcBorders>
          </w:tcPr>
          <w:p w14:paraId="6A3BA5F8" w14:textId="77777777" w:rsidR="00A3453E" w:rsidRDefault="00DA6528">
            <w:pPr>
              <w:pStyle w:val="TableParagraph"/>
              <w:ind w:left="122"/>
              <w:jc w:val="left"/>
              <w:rPr>
                <w:rFonts w:ascii="Arial"/>
                <w:b/>
                <w:sz w:val="20"/>
              </w:rPr>
            </w:pPr>
            <w:r>
              <w:rPr>
                <w:rFonts w:ascii="Arial"/>
                <w:b/>
                <w:sz w:val="20"/>
              </w:rPr>
              <w:t>Coursework issues (Yes, %)</w:t>
            </w:r>
          </w:p>
        </w:tc>
        <w:tc>
          <w:tcPr>
            <w:tcW w:w="1865" w:type="dxa"/>
            <w:tcBorders>
              <w:left w:val="single" w:sz="4" w:space="0" w:color="000000"/>
              <w:right w:val="single" w:sz="4" w:space="0" w:color="000000"/>
            </w:tcBorders>
          </w:tcPr>
          <w:p w14:paraId="0D5B09EB" w14:textId="77777777" w:rsidR="00A3453E" w:rsidRDefault="00DA6528">
            <w:pPr>
              <w:pStyle w:val="TableParagraph"/>
              <w:ind w:left="361" w:right="362"/>
              <w:rPr>
                <w:rFonts w:ascii="Arial"/>
                <w:sz w:val="20"/>
              </w:rPr>
            </w:pPr>
            <w:r>
              <w:rPr>
                <w:rFonts w:ascii="Arial"/>
                <w:sz w:val="20"/>
              </w:rPr>
              <w:t>329 (68.4%)</w:t>
            </w:r>
          </w:p>
        </w:tc>
        <w:tc>
          <w:tcPr>
            <w:tcW w:w="1949" w:type="dxa"/>
            <w:tcBorders>
              <w:left w:val="single" w:sz="4" w:space="0" w:color="000000"/>
            </w:tcBorders>
          </w:tcPr>
          <w:p w14:paraId="78982248" w14:textId="77777777" w:rsidR="00A3453E" w:rsidRDefault="00DA6528">
            <w:pPr>
              <w:pStyle w:val="TableParagraph"/>
              <w:ind w:left="411" w:right="399"/>
              <w:rPr>
                <w:rFonts w:ascii="Arial"/>
                <w:sz w:val="20"/>
              </w:rPr>
            </w:pPr>
            <w:r>
              <w:rPr>
                <w:rFonts w:ascii="Arial"/>
                <w:sz w:val="20"/>
              </w:rPr>
              <w:t>262 (69%)</w:t>
            </w:r>
          </w:p>
        </w:tc>
        <w:tc>
          <w:tcPr>
            <w:tcW w:w="1785" w:type="dxa"/>
            <w:tcBorders>
              <w:right w:val="single" w:sz="4" w:space="0" w:color="000000"/>
            </w:tcBorders>
          </w:tcPr>
          <w:p w14:paraId="7F6820E9" w14:textId="77777777" w:rsidR="00A3453E" w:rsidRDefault="00DA6528">
            <w:pPr>
              <w:pStyle w:val="TableParagraph"/>
              <w:ind w:right="369"/>
              <w:rPr>
                <w:rFonts w:ascii="Arial"/>
                <w:sz w:val="20"/>
              </w:rPr>
            </w:pPr>
            <w:r>
              <w:rPr>
                <w:rFonts w:ascii="Arial"/>
                <w:sz w:val="20"/>
              </w:rPr>
              <w:t>67 (67%)</w:t>
            </w:r>
          </w:p>
        </w:tc>
      </w:tr>
      <w:tr w:rsidR="00A3453E" w14:paraId="1FA1E867" w14:textId="77777777">
        <w:trPr>
          <w:trHeight w:val="293"/>
        </w:trPr>
        <w:tc>
          <w:tcPr>
            <w:tcW w:w="3471" w:type="dxa"/>
            <w:tcBorders>
              <w:right w:val="single" w:sz="4" w:space="0" w:color="000000"/>
            </w:tcBorders>
          </w:tcPr>
          <w:p w14:paraId="5D70DE15" w14:textId="77777777" w:rsidR="00A3453E" w:rsidRDefault="00DA6528">
            <w:pPr>
              <w:pStyle w:val="TableParagraph"/>
              <w:ind w:left="122"/>
              <w:jc w:val="left"/>
              <w:rPr>
                <w:rFonts w:ascii="Arial"/>
                <w:b/>
                <w:sz w:val="20"/>
              </w:rPr>
            </w:pPr>
            <w:r>
              <w:rPr>
                <w:rFonts w:ascii="Arial"/>
                <w:b/>
                <w:sz w:val="20"/>
              </w:rPr>
              <w:t>Daily work issues (Yes, %)</w:t>
            </w:r>
          </w:p>
        </w:tc>
        <w:tc>
          <w:tcPr>
            <w:tcW w:w="1865" w:type="dxa"/>
            <w:tcBorders>
              <w:left w:val="single" w:sz="4" w:space="0" w:color="000000"/>
              <w:right w:val="single" w:sz="4" w:space="0" w:color="000000"/>
            </w:tcBorders>
          </w:tcPr>
          <w:p w14:paraId="4E04B1D5" w14:textId="77777777" w:rsidR="00A3453E" w:rsidRDefault="00DA6528">
            <w:pPr>
              <w:pStyle w:val="TableParagraph"/>
              <w:ind w:left="361" w:right="362"/>
              <w:rPr>
                <w:rFonts w:ascii="Arial"/>
                <w:sz w:val="20"/>
              </w:rPr>
            </w:pPr>
            <w:r>
              <w:rPr>
                <w:rFonts w:ascii="Arial"/>
                <w:sz w:val="20"/>
              </w:rPr>
              <w:t>295 (61.3%)</w:t>
            </w:r>
          </w:p>
        </w:tc>
        <w:tc>
          <w:tcPr>
            <w:tcW w:w="1949" w:type="dxa"/>
            <w:tcBorders>
              <w:left w:val="single" w:sz="4" w:space="0" w:color="000000"/>
            </w:tcBorders>
          </w:tcPr>
          <w:p w14:paraId="252708EE" w14:textId="77777777" w:rsidR="00A3453E" w:rsidRDefault="00DA6528">
            <w:pPr>
              <w:pStyle w:val="TableParagraph"/>
              <w:ind w:left="411" w:right="399"/>
              <w:rPr>
                <w:rFonts w:ascii="Arial"/>
                <w:sz w:val="20"/>
              </w:rPr>
            </w:pPr>
            <w:r>
              <w:rPr>
                <w:rFonts w:ascii="Arial"/>
                <w:sz w:val="20"/>
              </w:rPr>
              <w:t>226 (59%)</w:t>
            </w:r>
          </w:p>
        </w:tc>
        <w:tc>
          <w:tcPr>
            <w:tcW w:w="1785" w:type="dxa"/>
            <w:tcBorders>
              <w:right w:val="single" w:sz="4" w:space="0" w:color="000000"/>
            </w:tcBorders>
          </w:tcPr>
          <w:p w14:paraId="658E500D" w14:textId="77777777" w:rsidR="00A3453E" w:rsidRDefault="00DA6528">
            <w:pPr>
              <w:pStyle w:val="TableParagraph"/>
              <w:ind w:right="369"/>
              <w:rPr>
                <w:rFonts w:ascii="Arial"/>
                <w:sz w:val="20"/>
              </w:rPr>
            </w:pPr>
            <w:r>
              <w:rPr>
                <w:rFonts w:ascii="Arial"/>
                <w:sz w:val="20"/>
              </w:rPr>
              <w:t>69 (69%)</w:t>
            </w:r>
          </w:p>
        </w:tc>
      </w:tr>
      <w:tr w:rsidR="00A3453E" w14:paraId="2D2C319C" w14:textId="77777777">
        <w:trPr>
          <w:trHeight w:val="292"/>
        </w:trPr>
        <w:tc>
          <w:tcPr>
            <w:tcW w:w="3471" w:type="dxa"/>
            <w:tcBorders>
              <w:right w:val="single" w:sz="4" w:space="0" w:color="000000"/>
            </w:tcBorders>
          </w:tcPr>
          <w:p w14:paraId="215D7D8E" w14:textId="77777777" w:rsidR="00A3453E" w:rsidRDefault="00DA6528">
            <w:pPr>
              <w:pStyle w:val="TableParagraph"/>
              <w:ind w:left="122"/>
              <w:jc w:val="left"/>
              <w:rPr>
                <w:rFonts w:ascii="Arial"/>
                <w:b/>
                <w:sz w:val="20"/>
              </w:rPr>
            </w:pPr>
            <w:r>
              <w:rPr>
                <w:rFonts w:ascii="Arial"/>
                <w:b/>
                <w:sz w:val="20"/>
              </w:rPr>
              <w:t>Help received (Yes, %)</w:t>
            </w:r>
          </w:p>
        </w:tc>
        <w:tc>
          <w:tcPr>
            <w:tcW w:w="1865" w:type="dxa"/>
            <w:tcBorders>
              <w:left w:val="single" w:sz="4" w:space="0" w:color="000000"/>
              <w:right w:val="single" w:sz="4" w:space="0" w:color="000000"/>
            </w:tcBorders>
          </w:tcPr>
          <w:p w14:paraId="1AA664AA" w14:textId="77777777" w:rsidR="00A3453E" w:rsidRDefault="00DA6528">
            <w:pPr>
              <w:pStyle w:val="TableParagraph"/>
              <w:ind w:left="361" w:right="362"/>
              <w:rPr>
                <w:rFonts w:ascii="Arial"/>
                <w:sz w:val="20"/>
              </w:rPr>
            </w:pPr>
            <w:r>
              <w:rPr>
                <w:rFonts w:ascii="Arial"/>
                <w:sz w:val="20"/>
              </w:rPr>
              <w:t>237 (49.3%)</w:t>
            </w:r>
          </w:p>
        </w:tc>
        <w:tc>
          <w:tcPr>
            <w:tcW w:w="1949" w:type="dxa"/>
            <w:tcBorders>
              <w:left w:val="single" w:sz="4" w:space="0" w:color="000000"/>
            </w:tcBorders>
          </w:tcPr>
          <w:p w14:paraId="7C708A72" w14:textId="77777777" w:rsidR="00A3453E" w:rsidRDefault="00DA6528">
            <w:pPr>
              <w:pStyle w:val="TableParagraph"/>
              <w:ind w:left="411" w:right="399"/>
              <w:rPr>
                <w:rFonts w:ascii="Arial"/>
                <w:sz w:val="20"/>
              </w:rPr>
            </w:pPr>
            <w:r>
              <w:rPr>
                <w:rFonts w:ascii="Arial"/>
                <w:sz w:val="20"/>
              </w:rPr>
              <w:t>176 (46%)</w:t>
            </w:r>
          </w:p>
        </w:tc>
        <w:tc>
          <w:tcPr>
            <w:tcW w:w="1785" w:type="dxa"/>
            <w:tcBorders>
              <w:right w:val="single" w:sz="4" w:space="0" w:color="000000"/>
            </w:tcBorders>
          </w:tcPr>
          <w:p w14:paraId="047C3C91" w14:textId="77777777" w:rsidR="00A3453E" w:rsidRDefault="00DA6528">
            <w:pPr>
              <w:pStyle w:val="TableParagraph"/>
              <w:ind w:right="369"/>
              <w:rPr>
                <w:rFonts w:ascii="Arial"/>
                <w:sz w:val="20"/>
              </w:rPr>
            </w:pPr>
            <w:r>
              <w:rPr>
                <w:rFonts w:ascii="Arial"/>
                <w:sz w:val="20"/>
              </w:rPr>
              <w:t>61 (61%)</w:t>
            </w:r>
          </w:p>
        </w:tc>
      </w:tr>
      <w:tr w:rsidR="00A3453E" w14:paraId="5A006384" w14:textId="77777777">
        <w:trPr>
          <w:trHeight w:val="260"/>
        </w:trPr>
        <w:tc>
          <w:tcPr>
            <w:tcW w:w="3471" w:type="dxa"/>
            <w:tcBorders>
              <w:bottom w:val="single" w:sz="4" w:space="0" w:color="000000"/>
              <w:right w:val="single" w:sz="4" w:space="0" w:color="000000"/>
            </w:tcBorders>
          </w:tcPr>
          <w:p w14:paraId="13780A96" w14:textId="77777777" w:rsidR="00A3453E" w:rsidRDefault="00DA6528">
            <w:pPr>
              <w:pStyle w:val="TableParagraph"/>
              <w:spacing w:line="213" w:lineRule="exact"/>
              <w:ind w:left="122"/>
              <w:jc w:val="left"/>
              <w:rPr>
                <w:rFonts w:ascii="Arial"/>
                <w:b/>
                <w:sz w:val="20"/>
              </w:rPr>
            </w:pPr>
            <w:r>
              <w:rPr>
                <w:rFonts w:ascii="Arial"/>
                <w:b/>
                <w:sz w:val="20"/>
              </w:rPr>
              <w:t>RUG Capacity (Yes, %)</w:t>
            </w:r>
          </w:p>
        </w:tc>
        <w:tc>
          <w:tcPr>
            <w:tcW w:w="1865" w:type="dxa"/>
            <w:tcBorders>
              <w:left w:val="single" w:sz="4" w:space="0" w:color="000000"/>
              <w:bottom w:val="single" w:sz="4" w:space="0" w:color="000000"/>
              <w:right w:val="single" w:sz="4" w:space="0" w:color="000000"/>
            </w:tcBorders>
          </w:tcPr>
          <w:p w14:paraId="7F3AD8F5" w14:textId="77777777" w:rsidR="00A3453E" w:rsidRDefault="00DA6528">
            <w:pPr>
              <w:pStyle w:val="TableParagraph"/>
              <w:spacing w:line="213" w:lineRule="exact"/>
              <w:ind w:left="360" w:right="362"/>
              <w:rPr>
                <w:rFonts w:ascii="Arial"/>
                <w:sz w:val="20"/>
              </w:rPr>
            </w:pPr>
            <w:r>
              <w:rPr>
                <w:rFonts w:ascii="Arial"/>
                <w:sz w:val="20"/>
              </w:rPr>
              <w:t>192 (40%)</w:t>
            </w:r>
          </w:p>
        </w:tc>
        <w:tc>
          <w:tcPr>
            <w:tcW w:w="1949" w:type="dxa"/>
            <w:tcBorders>
              <w:left w:val="single" w:sz="4" w:space="0" w:color="000000"/>
              <w:bottom w:val="single" w:sz="4" w:space="0" w:color="000000"/>
            </w:tcBorders>
          </w:tcPr>
          <w:p w14:paraId="0FA21F40" w14:textId="77777777" w:rsidR="00A3453E" w:rsidRDefault="00DA6528">
            <w:pPr>
              <w:pStyle w:val="TableParagraph"/>
              <w:spacing w:line="213" w:lineRule="exact"/>
              <w:ind w:left="411" w:right="399"/>
              <w:rPr>
                <w:rFonts w:ascii="Arial"/>
                <w:sz w:val="20"/>
              </w:rPr>
            </w:pPr>
            <w:r>
              <w:rPr>
                <w:rFonts w:ascii="Arial"/>
                <w:sz w:val="20"/>
              </w:rPr>
              <w:t>161 (42%)</w:t>
            </w:r>
          </w:p>
        </w:tc>
        <w:tc>
          <w:tcPr>
            <w:tcW w:w="1785" w:type="dxa"/>
            <w:tcBorders>
              <w:bottom w:val="single" w:sz="4" w:space="0" w:color="000000"/>
              <w:right w:val="single" w:sz="4" w:space="0" w:color="000000"/>
            </w:tcBorders>
          </w:tcPr>
          <w:p w14:paraId="5995919F" w14:textId="77777777" w:rsidR="00A3453E" w:rsidRDefault="00DA6528">
            <w:pPr>
              <w:pStyle w:val="TableParagraph"/>
              <w:spacing w:line="213" w:lineRule="exact"/>
              <w:ind w:right="369"/>
              <w:rPr>
                <w:rFonts w:ascii="Arial"/>
                <w:sz w:val="20"/>
              </w:rPr>
            </w:pPr>
            <w:r>
              <w:rPr>
                <w:rFonts w:ascii="Arial"/>
                <w:sz w:val="20"/>
              </w:rPr>
              <w:t>31 (31%)</w:t>
            </w:r>
          </w:p>
        </w:tc>
      </w:tr>
    </w:tbl>
    <w:p w14:paraId="5BF6A83A" w14:textId="77777777" w:rsidR="00A3453E" w:rsidRDefault="00A3453E">
      <w:pPr>
        <w:pStyle w:val="Plattetekst"/>
        <w:spacing w:before="3"/>
        <w:rPr>
          <w:b/>
          <w:sz w:val="18"/>
        </w:rPr>
      </w:pPr>
    </w:p>
    <w:p w14:paraId="20A09AC7" w14:textId="77777777" w:rsidR="00A3453E" w:rsidRDefault="00DA6528">
      <w:pPr>
        <w:spacing w:before="64"/>
        <w:ind w:left="120"/>
        <w:rPr>
          <w:sz w:val="18"/>
        </w:rPr>
      </w:pPr>
      <w:r>
        <w:rPr>
          <w:sz w:val="18"/>
        </w:rPr>
        <w:t>Table: RUG: University of Groningen</w:t>
      </w:r>
    </w:p>
    <w:p w14:paraId="4C5E98BD" w14:textId="77777777" w:rsidR="00A3453E" w:rsidRDefault="00A3453E">
      <w:pPr>
        <w:rPr>
          <w:sz w:val="18"/>
        </w:rPr>
        <w:sectPr w:rsidR="00A3453E">
          <w:pgSz w:w="11910" w:h="16840"/>
          <w:pgMar w:top="1420" w:right="1280" w:bottom="280" w:left="1320" w:header="708" w:footer="708" w:gutter="0"/>
          <w:cols w:space="708"/>
        </w:sectPr>
      </w:pPr>
    </w:p>
    <w:p w14:paraId="64165955" w14:textId="77777777" w:rsidR="00A3453E" w:rsidRDefault="00DA6528">
      <w:pPr>
        <w:pStyle w:val="Kop1"/>
      </w:pPr>
      <w:r>
        <w:lastRenderedPageBreak/>
        <w:t>Figure 1: How academic success has changed since the academic year started</w:t>
      </w:r>
    </w:p>
    <w:p w14:paraId="486E0771" w14:textId="77777777" w:rsidR="00A3453E" w:rsidRDefault="00DA6528">
      <w:pPr>
        <w:pStyle w:val="Plattetekst"/>
        <w:spacing w:before="4"/>
        <w:rPr>
          <w:b/>
          <w:sz w:val="20"/>
        </w:rPr>
      </w:pPr>
      <w:r>
        <w:rPr>
          <w:noProof/>
        </w:rPr>
        <w:drawing>
          <wp:anchor distT="0" distB="0" distL="0" distR="0" simplePos="0" relativeHeight="251658240" behindDoc="0" locked="0" layoutInCell="1" allowOverlap="1" wp14:anchorId="128BA7A3" wp14:editId="12AAC6D3">
            <wp:simplePos x="0" y="0"/>
            <wp:positionH relativeFrom="page">
              <wp:posOffset>1430457</wp:posOffset>
            </wp:positionH>
            <wp:positionV relativeFrom="paragraph">
              <wp:posOffset>182927</wp:posOffset>
            </wp:positionV>
            <wp:extent cx="5103743" cy="332727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103743" cy="3327273"/>
                    </a:xfrm>
                    <a:prstGeom prst="rect">
                      <a:avLst/>
                    </a:prstGeom>
                  </pic:spPr>
                </pic:pic>
              </a:graphicData>
            </a:graphic>
          </wp:anchor>
        </w:drawing>
      </w:r>
    </w:p>
    <w:p w14:paraId="402053AA" w14:textId="77777777" w:rsidR="00A3453E" w:rsidRDefault="00A3453E">
      <w:pPr>
        <w:pStyle w:val="Plattetekst"/>
        <w:spacing w:before="7"/>
        <w:rPr>
          <w:b/>
          <w:sz w:val="19"/>
        </w:rPr>
      </w:pPr>
    </w:p>
    <w:p w14:paraId="333683E4" w14:textId="77777777" w:rsidR="00A3453E" w:rsidRDefault="00DA6528">
      <w:pPr>
        <w:ind w:left="238" w:right="726"/>
        <w:rPr>
          <w:sz w:val="20"/>
        </w:rPr>
      </w:pPr>
      <w:r>
        <w:rPr>
          <w:sz w:val="20"/>
        </w:rPr>
        <w:t>Figure: Breakdown of total student population responding how they gauged changes in their academic success when compared to the beginning of the academic year of 2021/2022</w:t>
      </w:r>
    </w:p>
    <w:p w14:paraId="4D6E8138" w14:textId="77777777" w:rsidR="00A3453E" w:rsidRDefault="00A3453E">
      <w:pPr>
        <w:pStyle w:val="Plattetekst"/>
        <w:rPr>
          <w:sz w:val="20"/>
        </w:rPr>
      </w:pPr>
    </w:p>
    <w:p w14:paraId="23600E72" w14:textId="77777777" w:rsidR="00A3453E" w:rsidRDefault="00A3453E">
      <w:pPr>
        <w:pStyle w:val="Plattetekst"/>
        <w:rPr>
          <w:sz w:val="20"/>
        </w:rPr>
      </w:pPr>
    </w:p>
    <w:p w14:paraId="371701BB" w14:textId="77777777" w:rsidR="00A3453E" w:rsidRDefault="00DA6528">
      <w:pPr>
        <w:pStyle w:val="Kop2"/>
        <w:spacing w:before="193"/>
      </w:pPr>
      <w:r>
        <w:t>Figu</w:t>
      </w:r>
      <w:r>
        <w:t>re 2: Feeling of positivity per week</w:t>
      </w:r>
    </w:p>
    <w:p w14:paraId="08AA465E" w14:textId="77777777" w:rsidR="00A3453E" w:rsidRDefault="00DA6528">
      <w:pPr>
        <w:pStyle w:val="Plattetekst"/>
        <w:spacing w:before="10"/>
        <w:rPr>
          <w:b/>
          <w:sz w:val="18"/>
        </w:rPr>
      </w:pPr>
      <w:r>
        <w:rPr>
          <w:noProof/>
        </w:rPr>
        <w:drawing>
          <wp:anchor distT="0" distB="0" distL="0" distR="0" simplePos="0" relativeHeight="251659264" behindDoc="0" locked="0" layoutInCell="1" allowOverlap="1" wp14:anchorId="3C9A3F61" wp14:editId="047E44F5">
            <wp:simplePos x="0" y="0"/>
            <wp:positionH relativeFrom="page">
              <wp:posOffset>1346808</wp:posOffset>
            </wp:positionH>
            <wp:positionV relativeFrom="paragraph">
              <wp:posOffset>170765</wp:posOffset>
            </wp:positionV>
            <wp:extent cx="4747099" cy="3280410"/>
            <wp:effectExtent l="0" t="0" r="0" b="0"/>
            <wp:wrapTopAndBottom/>
            <wp:docPr id="3" name="image2.jpeg" descr="Chart, pi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747099" cy="3280410"/>
                    </a:xfrm>
                    <a:prstGeom prst="rect">
                      <a:avLst/>
                    </a:prstGeom>
                  </pic:spPr>
                </pic:pic>
              </a:graphicData>
            </a:graphic>
          </wp:anchor>
        </w:drawing>
      </w:r>
    </w:p>
    <w:p w14:paraId="075A390D" w14:textId="77777777" w:rsidR="00A3453E" w:rsidRDefault="00A3453E">
      <w:pPr>
        <w:pStyle w:val="Plattetekst"/>
        <w:spacing w:before="4"/>
        <w:rPr>
          <w:b/>
        </w:rPr>
      </w:pPr>
    </w:p>
    <w:p w14:paraId="2B4B6457" w14:textId="77777777" w:rsidR="00A3453E" w:rsidRDefault="00DA6528">
      <w:pPr>
        <w:ind w:left="271" w:right="270"/>
        <w:rPr>
          <w:sz w:val="20"/>
        </w:rPr>
      </w:pPr>
      <w:r>
        <w:rPr>
          <w:sz w:val="20"/>
        </w:rPr>
        <w:t>Figure: Breakdown of total student population responding how many times one feels positive over the course of the week</w:t>
      </w:r>
    </w:p>
    <w:p w14:paraId="0655356D" w14:textId="77777777" w:rsidR="00A3453E" w:rsidRDefault="00A3453E">
      <w:pPr>
        <w:rPr>
          <w:sz w:val="20"/>
        </w:rPr>
        <w:sectPr w:rsidR="00A3453E">
          <w:pgSz w:w="11910" w:h="16840"/>
          <w:pgMar w:top="1380" w:right="1280" w:bottom="280" w:left="1320" w:header="708" w:footer="708" w:gutter="0"/>
          <w:cols w:space="708"/>
        </w:sectPr>
      </w:pPr>
    </w:p>
    <w:p w14:paraId="0DEF4595" w14:textId="77777777" w:rsidR="00A3453E" w:rsidRDefault="00DA6528">
      <w:pPr>
        <w:pStyle w:val="Kop2"/>
      </w:pPr>
      <w:r>
        <w:lastRenderedPageBreak/>
        <w:t>Figure 3: Fitness levels</w:t>
      </w:r>
    </w:p>
    <w:p w14:paraId="2F4D1456" w14:textId="77777777" w:rsidR="00A3453E" w:rsidRDefault="00DA6528">
      <w:pPr>
        <w:pStyle w:val="Plattetekst"/>
        <w:spacing w:before="8"/>
        <w:rPr>
          <w:b/>
          <w:sz w:val="9"/>
        </w:rPr>
      </w:pPr>
      <w:r>
        <w:rPr>
          <w:noProof/>
        </w:rPr>
        <w:drawing>
          <wp:anchor distT="0" distB="0" distL="0" distR="0" simplePos="0" relativeHeight="2" behindDoc="0" locked="0" layoutInCell="1" allowOverlap="1" wp14:anchorId="7B2820E0" wp14:editId="4D822237">
            <wp:simplePos x="0" y="0"/>
            <wp:positionH relativeFrom="page">
              <wp:posOffset>1039800</wp:posOffset>
            </wp:positionH>
            <wp:positionV relativeFrom="paragraph">
              <wp:posOffset>99704</wp:posOffset>
            </wp:positionV>
            <wp:extent cx="5571075" cy="3117627"/>
            <wp:effectExtent l="0" t="0" r="0" b="0"/>
            <wp:wrapTopAndBottom/>
            <wp:docPr id="5" name="image3.png" descr="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571075" cy="3117627"/>
                    </a:xfrm>
                    <a:prstGeom prst="rect">
                      <a:avLst/>
                    </a:prstGeom>
                  </pic:spPr>
                </pic:pic>
              </a:graphicData>
            </a:graphic>
          </wp:anchor>
        </w:drawing>
      </w:r>
    </w:p>
    <w:p w14:paraId="3B11EB5A" w14:textId="77777777" w:rsidR="00A3453E" w:rsidRDefault="00A3453E">
      <w:pPr>
        <w:pStyle w:val="Plattetekst"/>
        <w:spacing w:before="5"/>
        <w:rPr>
          <w:b/>
          <w:sz w:val="21"/>
        </w:rPr>
      </w:pPr>
    </w:p>
    <w:p w14:paraId="397EB9CE" w14:textId="77777777" w:rsidR="00A3453E" w:rsidRDefault="00DA6528">
      <w:pPr>
        <w:spacing w:before="1"/>
        <w:ind w:left="120"/>
        <w:rPr>
          <w:sz w:val="20"/>
        </w:rPr>
      </w:pPr>
      <w:r>
        <w:rPr>
          <w:sz w:val="20"/>
        </w:rPr>
        <w:t>Figure: Bar graph denoting the responses by all students in relation to their perceived fitness</w:t>
      </w:r>
      <w:r>
        <w:rPr>
          <w:sz w:val="20"/>
        </w:rPr>
        <w:t xml:space="preserve"> level</w:t>
      </w:r>
    </w:p>
    <w:p w14:paraId="4DAAF312" w14:textId="77777777" w:rsidR="00A3453E" w:rsidRDefault="00A3453E">
      <w:pPr>
        <w:pStyle w:val="Plattetekst"/>
        <w:spacing w:before="7"/>
        <w:rPr>
          <w:sz w:val="23"/>
        </w:rPr>
      </w:pPr>
    </w:p>
    <w:p w14:paraId="323BCE36" w14:textId="77777777" w:rsidR="00A3453E" w:rsidRDefault="00DA6528">
      <w:pPr>
        <w:pStyle w:val="Plattetekst"/>
        <w:spacing w:before="1"/>
        <w:ind w:left="120"/>
      </w:pPr>
      <w:r>
        <w:rPr>
          <w:u w:val="single"/>
        </w:rPr>
        <w:t>Results</w:t>
      </w:r>
    </w:p>
    <w:p w14:paraId="3B62AAD6" w14:textId="77777777" w:rsidR="00A3453E" w:rsidRDefault="00A3453E">
      <w:pPr>
        <w:pStyle w:val="Plattetekst"/>
        <w:spacing w:before="1"/>
        <w:rPr>
          <w:sz w:val="10"/>
        </w:rPr>
      </w:pPr>
    </w:p>
    <w:p w14:paraId="53409694" w14:textId="77777777" w:rsidR="00A3453E" w:rsidRDefault="00DA6528">
      <w:pPr>
        <w:pStyle w:val="Plattetekst"/>
        <w:spacing w:before="57" w:line="259" w:lineRule="auto"/>
        <w:ind w:left="120" w:right="151"/>
      </w:pPr>
      <w:r>
        <w:t>In total, 481 students from the University of Groningen participated in the survey. 381 students were considered local (e.g. provided answers in Dutch) and 100 students were considered international (e.g. provided responses in English).When comparing to th</w:t>
      </w:r>
      <w:r>
        <w:t xml:space="preserve">e beginning of the year, 88 students (18.3%) responded that things have become slightly better or improved a lot. Less than half of the students (n = 221, 45.9%) responded that things have become harder since the beginning of the academic year (Figure 1). </w:t>
      </w:r>
      <w:r>
        <w:t>In comparison, 123 students (25.6%) stated that they felt positive for most of the week or always (Figure 2). No large differences were seen between the Dutch and International students pertaining to academic success and positivity. When considering the le</w:t>
      </w:r>
      <w:r>
        <w:t xml:space="preserve">vel of fitness, students responded with a fitness level higher than average. It should be noted that RUG students responded with a higher level of fitness compared to </w:t>
      </w:r>
      <w:proofErr w:type="spellStart"/>
      <w:r>
        <w:t>Hanzehogeschool</w:t>
      </w:r>
      <w:proofErr w:type="spellEnd"/>
      <w:r>
        <w:t xml:space="preserve"> students.</w:t>
      </w:r>
    </w:p>
    <w:p w14:paraId="6FDD8680" w14:textId="77777777" w:rsidR="00A3453E" w:rsidRDefault="00DA6528">
      <w:pPr>
        <w:pStyle w:val="Plattetekst"/>
        <w:spacing w:before="160"/>
        <w:ind w:left="120"/>
      </w:pPr>
      <w:r>
        <w:t>In general, there were no large differences found between the r</w:t>
      </w:r>
      <w:r>
        <w:t>esponses between Dutch and</w:t>
      </w:r>
    </w:p>
    <w:p w14:paraId="207DDB6E" w14:textId="77777777" w:rsidR="00A3453E" w:rsidRDefault="00DA6528">
      <w:pPr>
        <w:pStyle w:val="Plattetekst"/>
        <w:spacing w:before="19" w:line="259" w:lineRule="auto"/>
        <w:ind w:left="120" w:right="271"/>
      </w:pPr>
      <w:r>
        <w:t>International students. However, for questions pertaining to ‘Daily work issues’ and ‘Help received’, International students responded at a higher percentage. Thus from the responding International students, they faced greater da</w:t>
      </w:r>
      <w:r>
        <w:t>ily work issues and reached out for obtaining mental help in greater percentages when compared to Dutch students. In addition, the International students responded that they believe in less in the capacity of the RUG to provide mental health assistance.</w:t>
      </w:r>
    </w:p>
    <w:p w14:paraId="1757D96A" w14:textId="77777777" w:rsidR="00A3453E" w:rsidRDefault="00DA6528">
      <w:pPr>
        <w:pStyle w:val="Plattetekst"/>
        <w:spacing w:before="161" w:line="259" w:lineRule="auto"/>
        <w:ind w:left="120" w:right="181"/>
      </w:pPr>
      <w:r>
        <w:t>In</w:t>
      </w:r>
      <w:r>
        <w:t xml:space="preserve"> the qualitive responses (e.g. comments by students), a recurring theme was found that students found it hard to discuss mental health issues Table 2). This stemmed from responses sharing that it was hard to engage with others regarding one’s mental health</w:t>
      </w:r>
      <w:r>
        <w:t xml:space="preserve"> and the feeling to not want to be a burden to others. Students who responded reported that motivation was hard to come by and the lack of activity (during lockdown) made it easier to stay thinking about negative thoughts. Responses by International studen</w:t>
      </w:r>
      <w:r>
        <w:t>ts highlighted that studying abroad was and has been a great experience.</w:t>
      </w:r>
    </w:p>
    <w:p w14:paraId="203C71CE" w14:textId="77777777" w:rsidR="00A3453E" w:rsidRDefault="00DA6528">
      <w:pPr>
        <w:pStyle w:val="Plattetekst"/>
        <w:spacing w:line="259" w:lineRule="auto"/>
        <w:ind w:left="120" w:right="145"/>
      </w:pPr>
      <w:r>
        <w:t>However, the limitations that have been imposed (e.g. lockdown, travel restrictions) have limited the experiences during the period of their study.</w:t>
      </w:r>
    </w:p>
    <w:p w14:paraId="49E6AB73" w14:textId="77777777" w:rsidR="00A3453E" w:rsidRDefault="00A3453E">
      <w:pPr>
        <w:spacing w:line="259" w:lineRule="auto"/>
        <w:sectPr w:rsidR="00A3453E">
          <w:pgSz w:w="11910" w:h="16840"/>
          <w:pgMar w:top="1380" w:right="1280" w:bottom="280" w:left="1320" w:header="708" w:footer="708" w:gutter="0"/>
          <w:cols w:space="708"/>
        </w:sectPr>
      </w:pPr>
    </w:p>
    <w:p w14:paraId="314C3CC9" w14:textId="77777777" w:rsidR="00A3453E" w:rsidRDefault="00DA6528">
      <w:pPr>
        <w:pStyle w:val="Plattetekst"/>
        <w:spacing w:before="41" w:line="276" w:lineRule="auto"/>
        <w:ind w:left="120" w:right="299"/>
      </w:pPr>
      <w:r>
        <w:rPr>
          <w:u w:val="single"/>
        </w:rPr>
        <w:lastRenderedPageBreak/>
        <w:t>Table 2</w:t>
      </w:r>
      <w:r>
        <w:t xml:space="preserve"> Comments by Dutch and International students pertaining to their experiences with mental health (Dutch responses were translated to English) (n = 160 comments)</w:t>
      </w:r>
    </w:p>
    <w:p w14:paraId="54C4B4F9" w14:textId="77777777" w:rsidR="00A3453E" w:rsidRDefault="00A3453E">
      <w:pPr>
        <w:pStyle w:val="Plattetekst"/>
        <w:spacing w:before="2"/>
        <w:rPr>
          <w:sz w:val="1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8"/>
      </w:tblGrid>
      <w:tr w:rsidR="00A3453E" w14:paraId="0DF288EA" w14:textId="77777777">
        <w:trPr>
          <w:trHeight w:val="618"/>
        </w:trPr>
        <w:tc>
          <w:tcPr>
            <w:tcW w:w="9018" w:type="dxa"/>
          </w:tcPr>
          <w:p w14:paraId="195F9903" w14:textId="77777777" w:rsidR="00A3453E" w:rsidRDefault="00DA6528">
            <w:pPr>
              <w:pStyle w:val="TableParagraph"/>
              <w:spacing w:before="0" w:line="268" w:lineRule="exact"/>
              <w:ind w:left="107"/>
              <w:jc w:val="left"/>
            </w:pPr>
            <w:r>
              <w:t>Talking about my mental health is difficult not by choice by rather as I do not know how to en</w:t>
            </w:r>
            <w:r>
              <w:t>gage</w:t>
            </w:r>
          </w:p>
          <w:p w14:paraId="037DD8CB" w14:textId="77777777" w:rsidR="00A3453E" w:rsidRDefault="00DA6528">
            <w:pPr>
              <w:pStyle w:val="TableParagraph"/>
              <w:spacing w:before="41"/>
              <w:ind w:left="107"/>
              <w:jc w:val="left"/>
            </w:pPr>
            <w:r>
              <w:t>with others with my situation. I do not want to be a burden to others.</w:t>
            </w:r>
          </w:p>
        </w:tc>
      </w:tr>
      <w:tr w:rsidR="00A3453E" w14:paraId="7C19E0FB" w14:textId="77777777">
        <w:trPr>
          <w:trHeight w:val="616"/>
        </w:trPr>
        <w:tc>
          <w:tcPr>
            <w:tcW w:w="9018" w:type="dxa"/>
          </w:tcPr>
          <w:p w14:paraId="2C7B3015" w14:textId="77777777" w:rsidR="00A3453E" w:rsidRDefault="00DA6528">
            <w:pPr>
              <w:pStyle w:val="TableParagraph"/>
              <w:spacing w:before="0" w:line="268" w:lineRule="exact"/>
              <w:ind w:left="107"/>
              <w:jc w:val="left"/>
            </w:pPr>
            <w:r>
              <w:t>I am not enjoying life and having issues with motivation. It has become harder to start working on</w:t>
            </w:r>
          </w:p>
          <w:p w14:paraId="0CF05C84" w14:textId="77777777" w:rsidR="00A3453E" w:rsidRDefault="00DA6528">
            <w:pPr>
              <w:pStyle w:val="TableParagraph"/>
              <w:spacing w:before="38"/>
              <w:ind w:left="107"/>
              <w:jc w:val="left"/>
            </w:pPr>
            <w:r>
              <w:t>tasks (academic and in general) and study delay is becoming an issue.</w:t>
            </w:r>
          </w:p>
        </w:tc>
      </w:tr>
      <w:tr w:rsidR="00A3453E" w14:paraId="4B83BF4F" w14:textId="77777777">
        <w:trPr>
          <w:trHeight w:val="618"/>
        </w:trPr>
        <w:tc>
          <w:tcPr>
            <w:tcW w:w="9018" w:type="dxa"/>
          </w:tcPr>
          <w:p w14:paraId="07D903C2" w14:textId="77777777" w:rsidR="00A3453E" w:rsidRDefault="00DA6528">
            <w:pPr>
              <w:pStyle w:val="TableParagraph"/>
              <w:spacing w:before="0" w:line="268" w:lineRule="exact"/>
              <w:ind w:left="107"/>
              <w:jc w:val="left"/>
            </w:pPr>
            <w:r>
              <w:t>The lack of activity made it easier to linger on negative thoughts and is mentally draining.</w:t>
            </w:r>
          </w:p>
          <w:p w14:paraId="2B71E5A5" w14:textId="77777777" w:rsidR="00A3453E" w:rsidRDefault="00DA6528">
            <w:pPr>
              <w:pStyle w:val="TableParagraph"/>
              <w:spacing w:before="41"/>
              <w:ind w:left="107"/>
              <w:jc w:val="left"/>
            </w:pPr>
            <w:r>
              <w:t>Concentration on tasks is difficult.</w:t>
            </w:r>
          </w:p>
        </w:tc>
      </w:tr>
      <w:tr w:rsidR="00A3453E" w14:paraId="619174B4" w14:textId="77777777">
        <w:trPr>
          <w:trHeight w:val="616"/>
        </w:trPr>
        <w:tc>
          <w:tcPr>
            <w:tcW w:w="9018" w:type="dxa"/>
          </w:tcPr>
          <w:p w14:paraId="184F27C6" w14:textId="77777777" w:rsidR="00A3453E" w:rsidRDefault="00DA6528">
            <w:pPr>
              <w:pStyle w:val="TableParagraph"/>
              <w:spacing w:before="0" w:line="268" w:lineRule="exact"/>
              <w:ind w:left="107"/>
              <w:jc w:val="left"/>
            </w:pPr>
            <w:r>
              <w:t>Moving to a new country has been a great experience but the limitations imposed have limited</w:t>
            </w:r>
          </w:p>
          <w:p w14:paraId="2FB583E3" w14:textId="77777777" w:rsidR="00A3453E" w:rsidRDefault="00DA6528">
            <w:pPr>
              <w:pStyle w:val="TableParagraph"/>
              <w:spacing w:before="38"/>
              <w:ind w:left="107"/>
              <w:jc w:val="left"/>
            </w:pPr>
            <w:r>
              <w:t>my experiences throughout my stu</w:t>
            </w:r>
            <w:r>
              <w:t>dies</w:t>
            </w:r>
          </w:p>
        </w:tc>
      </w:tr>
      <w:tr w:rsidR="00A3453E" w14:paraId="1E90F481" w14:textId="77777777">
        <w:trPr>
          <w:trHeight w:val="926"/>
        </w:trPr>
        <w:tc>
          <w:tcPr>
            <w:tcW w:w="9018" w:type="dxa"/>
          </w:tcPr>
          <w:p w14:paraId="2437040B" w14:textId="77777777" w:rsidR="00A3453E" w:rsidRDefault="00DA6528">
            <w:pPr>
              <w:pStyle w:val="TableParagraph"/>
              <w:spacing w:before="0" w:line="268" w:lineRule="exact"/>
              <w:ind w:left="107"/>
              <w:jc w:val="left"/>
            </w:pPr>
            <w:r>
              <w:t>To tackle mental health issues faced (over the COVID19 period), I have begun seeing a therapist –</w:t>
            </w:r>
          </w:p>
          <w:p w14:paraId="6DA2EDFD" w14:textId="77777777" w:rsidR="00A3453E" w:rsidRDefault="00DA6528">
            <w:pPr>
              <w:pStyle w:val="TableParagraph"/>
              <w:spacing w:before="0" w:line="310" w:lineRule="atLeast"/>
              <w:ind w:left="107" w:right="461"/>
              <w:jc w:val="left"/>
            </w:pPr>
            <w:r>
              <w:t>it has been very helpful for being able process the situation and understand my condition (e.g. depression)</w:t>
            </w:r>
          </w:p>
        </w:tc>
      </w:tr>
      <w:tr w:rsidR="00A3453E" w14:paraId="2336DBA1" w14:textId="77777777">
        <w:trPr>
          <w:trHeight w:val="618"/>
        </w:trPr>
        <w:tc>
          <w:tcPr>
            <w:tcW w:w="9018" w:type="dxa"/>
          </w:tcPr>
          <w:p w14:paraId="3A00BA6D" w14:textId="77777777" w:rsidR="00A3453E" w:rsidRDefault="00DA6528">
            <w:pPr>
              <w:pStyle w:val="TableParagraph"/>
              <w:spacing w:before="1"/>
              <w:ind w:left="107"/>
              <w:jc w:val="left"/>
            </w:pPr>
            <w:r>
              <w:t>(With the lockdown restrictions reintroduced in December 2021) I was able to be back on track</w:t>
            </w:r>
          </w:p>
          <w:p w14:paraId="48FCBEF7" w14:textId="77777777" w:rsidR="00A3453E" w:rsidRDefault="00DA6528">
            <w:pPr>
              <w:pStyle w:val="TableParagraph"/>
              <w:spacing w:before="39"/>
              <w:ind w:left="107"/>
              <w:jc w:val="left"/>
            </w:pPr>
            <w:r>
              <w:t xml:space="preserve">with my life but re-entering lockdown pushed me back </w:t>
            </w:r>
            <w:r>
              <w:t>to struggling to find balance</w:t>
            </w:r>
          </w:p>
        </w:tc>
      </w:tr>
      <w:tr w:rsidR="00A3453E" w14:paraId="73C687F5" w14:textId="77777777">
        <w:trPr>
          <w:trHeight w:val="926"/>
        </w:trPr>
        <w:tc>
          <w:tcPr>
            <w:tcW w:w="9018" w:type="dxa"/>
          </w:tcPr>
          <w:p w14:paraId="0A94776C" w14:textId="77777777" w:rsidR="00A3453E" w:rsidRDefault="00DA6528">
            <w:pPr>
              <w:pStyle w:val="TableParagraph"/>
              <w:spacing w:before="0" w:line="268" w:lineRule="exact"/>
              <w:ind w:left="107"/>
              <w:jc w:val="left"/>
            </w:pPr>
            <w:r>
              <w:t>In general, things are going poorly (mental health, academics, social life) (range from beginning of</w:t>
            </w:r>
          </w:p>
          <w:p w14:paraId="7CB62C18" w14:textId="77777777" w:rsidR="00A3453E" w:rsidRDefault="00DA6528">
            <w:pPr>
              <w:pStyle w:val="TableParagraph"/>
              <w:spacing w:before="9" w:line="300" w:lineRule="atLeast"/>
              <w:ind w:left="107" w:right="152"/>
              <w:jc w:val="left"/>
            </w:pPr>
            <w:r>
              <w:t>COVID19 to recent academic year). Engaging with physical activity has helped but being lockdown has not helped</w:t>
            </w:r>
          </w:p>
        </w:tc>
      </w:tr>
    </w:tbl>
    <w:p w14:paraId="225AA9EE" w14:textId="77777777" w:rsidR="00A3453E" w:rsidRDefault="00A3453E">
      <w:pPr>
        <w:pStyle w:val="Plattetekst"/>
      </w:pPr>
    </w:p>
    <w:p w14:paraId="0B35E6E8" w14:textId="77777777" w:rsidR="00A3453E" w:rsidRDefault="00A3453E">
      <w:pPr>
        <w:pStyle w:val="Plattetekst"/>
        <w:spacing w:before="5"/>
        <w:rPr>
          <w:sz w:val="16"/>
        </w:rPr>
      </w:pPr>
    </w:p>
    <w:p w14:paraId="2DE804C9" w14:textId="77777777" w:rsidR="00A3453E" w:rsidRDefault="00DA6528">
      <w:pPr>
        <w:pStyle w:val="Plattetekst"/>
        <w:spacing w:before="1"/>
        <w:ind w:left="120"/>
      </w:pPr>
      <w:r>
        <w:rPr>
          <w:u w:val="single"/>
        </w:rPr>
        <w:t>Tips and advice:</w:t>
      </w:r>
    </w:p>
    <w:p w14:paraId="390C56D5" w14:textId="77777777" w:rsidR="00A3453E" w:rsidRDefault="00A3453E">
      <w:pPr>
        <w:pStyle w:val="Plattetekst"/>
        <w:spacing w:before="8"/>
        <w:rPr>
          <w:sz w:val="11"/>
        </w:rPr>
      </w:pPr>
    </w:p>
    <w:p w14:paraId="296BEB9E" w14:textId="77777777" w:rsidR="00A3453E" w:rsidRDefault="00DA6528">
      <w:pPr>
        <w:pStyle w:val="Plattetekst"/>
        <w:spacing w:before="57" w:line="276" w:lineRule="auto"/>
        <w:ind w:left="120" w:right="222"/>
      </w:pPr>
      <w:r>
        <w:t xml:space="preserve">In the next academic year, Brightspace will be introduced at the </w:t>
      </w:r>
      <w:proofErr w:type="spellStart"/>
      <w:r>
        <w:t>Rijksuniversiteit</w:t>
      </w:r>
      <w:proofErr w:type="spellEnd"/>
      <w:r>
        <w:t xml:space="preserve"> Groningen, this will be a great opportuni</w:t>
      </w:r>
      <w:r>
        <w:t>ty for the UG to create and guarantee enhanced visibility and accessibility regarding mental health resources for students. It is important that a maximal amount of visibility is reached to create a ‘safe space’ within the RUG for students, where they feel</w:t>
      </w:r>
      <w:r>
        <w:t xml:space="preserve"> like that there is help available for them to make use of.</w:t>
      </w:r>
    </w:p>
    <w:p w14:paraId="2C3AD5C1" w14:textId="77777777" w:rsidR="00A3453E" w:rsidRDefault="00DA6528">
      <w:pPr>
        <w:pStyle w:val="Plattetekst"/>
        <w:spacing w:before="160" w:line="276" w:lineRule="auto"/>
        <w:ind w:left="120" w:right="170"/>
      </w:pPr>
      <w:r>
        <w:t>Concerning the quality of the mental help that is offered as of now, we have seen complications with the quality of the help that students get. Scenarios where students are put into so-called ‘gro</w:t>
      </w:r>
      <w:r>
        <w:t xml:space="preserve">up conversations’ or ‘speed-sessions’ where a student has to portray their worries in under 10 minutes. These scenarios have a detrimental effect on the way that students experience the help that is offered, resulting in a domino-effect of them not asking </w:t>
      </w:r>
      <w:r>
        <w:t>for help anymore or any longer. Through mouth-to-mouth conversations, we see that this sentiment of disappointment is spreading in the social circles that students find themselves in.</w:t>
      </w:r>
    </w:p>
    <w:p w14:paraId="68272048" w14:textId="77777777" w:rsidR="00A3453E" w:rsidRDefault="00DA6528">
      <w:pPr>
        <w:pStyle w:val="Plattetekst"/>
        <w:spacing w:before="162" w:line="276" w:lineRule="auto"/>
        <w:ind w:left="120" w:right="711"/>
      </w:pPr>
      <w:r>
        <w:t>This lack of personnel and understaffing within the Student Service Centre directly leads to insufficient results. We therefore urge the UG to hire more student psychologists with proper training to handle emergency situations and act accordingly. In the c</w:t>
      </w:r>
      <w:r>
        <w:t>urrent system the average waiting time is one month, which is far from helpful and desirable for a possible psychological complaint.</w:t>
      </w:r>
    </w:p>
    <w:p w14:paraId="400E5BD3" w14:textId="77777777" w:rsidR="00A3453E" w:rsidRDefault="00DA6528">
      <w:pPr>
        <w:pStyle w:val="Plattetekst"/>
        <w:spacing w:before="160" w:line="276" w:lineRule="auto"/>
        <w:ind w:left="120" w:right="291"/>
      </w:pPr>
      <w:r>
        <w:t>Then, to enhance the visibility of the various resources that the UG offers for different complaints (think about harassmen</w:t>
      </w:r>
      <w:r>
        <w:t xml:space="preserve">t, bullying, personal problems, problems concerning studies, etc.) we would </w:t>
      </w:r>
      <w:proofErr w:type="spellStart"/>
      <w:r>
        <w:t>advice</w:t>
      </w:r>
      <w:proofErr w:type="spellEnd"/>
      <w:r>
        <w:t xml:space="preserve"> to invest in a flowchart that is accessible and easy to find in Brightspace. A flowchart will</w:t>
      </w:r>
    </w:p>
    <w:p w14:paraId="01E57630" w14:textId="77777777" w:rsidR="00A3453E" w:rsidRDefault="00A3453E">
      <w:pPr>
        <w:spacing w:line="276" w:lineRule="auto"/>
        <w:sectPr w:rsidR="00A3453E">
          <w:pgSz w:w="11910" w:h="16840"/>
          <w:pgMar w:top="1380" w:right="1280" w:bottom="280" w:left="1320" w:header="708" w:footer="708" w:gutter="0"/>
          <w:cols w:space="708"/>
        </w:sectPr>
      </w:pPr>
    </w:p>
    <w:p w14:paraId="5AF3BC51" w14:textId="77777777" w:rsidR="00A3453E" w:rsidRDefault="00DA6528">
      <w:pPr>
        <w:pStyle w:val="Plattetekst"/>
        <w:spacing w:before="41" w:line="276" w:lineRule="auto"/>
        <w:ind w:left="120" w:right="499"/>
      </w:pPr>
      <w:r>
        <w:lastRenderedPageBreak/>
        <w:t>decrease the distance between students and the resources that are</w:t>
      </w:r>
      <w:r>
        <w:t xml:space="preserve"> available. An example can be found in appendix 3.</w:t>
      </w:r>
    </w:p>
    <w:p w14:paraId="538C6810" w14:textId="77777777" w:rsidR="00A3453E" w:rsidRDefault="00DA6528">
      <w:pPr>
        <w:pStyle w:val="Plattetekst"/>
        <w:spacing w:before="160" w:line="276" w:lineRule="auto"/>
        <w:ind w:left="120" w:right="199"/>
      </w:pPr>
      <w:r>
        <w:t xml:space="preserve">The initiative of creating a student health ambassador’s (SHA’s) committee should be centrally supported and implemented during the upcoming academic year. This will be by student volunteers, for students </w:t>
      </w:r>
      <w:r>
        <w:t xml:space="preserve">at the UG. Examples of this </w:t>
      </w:r>
      <w:proofErr w:type="spellStart"/>
      <w:r>
        <w:t>programme</w:t>
      </w:r>
      <w:proofErr w:type="spellEnd"/>
      <w:r>
        <w:t xml:space="preserve"> would entail finding the SHA’s at university buildings and conducting them directly about problems that they are facing at the moment concerning mental health. Their role would be to redirect the students to the approp</w:t>
      </w:r>
      <w:r>
        <w:t>riate direction of the resources that they in need of. Furthermore they can provide useful information for international students regarding the Dutch healthcare system (think of; how to get a GP, how to get a letter of referral, etc.)</w:t>
      </w:r>
    </w:p>
    <w:p w14:paraId="4C810939" w14:textId="77777777" w:rsidR="00A3453E" w:rsidRDefault="00DA6528">
      <w:pPr>
        <w:pStyle w:val="Plattetekst"/>
        <w:spacing w:before="160"/>
        <w:ind w:left="120"/>
      </w:pPr>
      <w:r>
        <w:rPr>
          <w:u w:val="single"/>
        </w:rPr>
        <w:t>Accomplishing these g</w:t>
      </w:r>
      <w:r>
        <w:rPr>
          <w:u w:val="single"/>
        </w:rPr>
        <w:t>oals</w:t>
      </w:r>
    </w:p>
    <w:p w14:paraId="0D4BC0A1" w14:textId="77777777" w:rsidR="00A3453E" w:rsidRDefault="00A3453E">
      <w:pPr>
        <w:pStyle w:val="Plattetekst"/>
        <w:spacing w:before="11"/>
        <w:rPr>
          <w:sz w:val="11"/>
        </w:rPr>
      </w:pPr>
    </w:p>
    <w:p w14:paraId="2E2989B3" w14:textId="77777777" w:rsidR="00A3453E" w:rsidRDefault="00DA6528">
      <w:pPr>
        <w:pStyle w:val="Plattetekst"/>
        <w:spacing w:before="57" w:line="276" w:lineRule="auto"/>
        <w:ind w:left="120" w:right="189"/>
      </w:pPr>
      <w:r>
        <w:t>We understand that urging the UG for better help regarding mental health is not something that can be done overnight. This is why we would encourage the UG to get in contact with student representative bodies, this can be the University Council or th</w:t>
      </w:r>
      <w:r>
        <w:t xml:space="preserve">e </w:t>
      </w:r>
      <w:proofErr w:type="spellStart"/>
      <w:r>
        <w:t>Groninger</w:t>
      </w:r>
      <w:proofErr w:type="spellEnd"/>
      <w:r>
        <w:t xml:space="preserve"> </w:t>
      </w:r>
      <w:proofErr w:type="spellStart"/>
      <w:r>
        <w:t>Studentenbond</w:t>
      </w:r>
      <w:proofErr w:type="spellEnd"/>
      <w:r>
        <w:t>, both of which have first-hand experiences with the mental health resources that the UG has to offer. In conducting this research we hope to have shown that we can function as a bridge between the UG and its students, offering adv</w:t>
      </w:r>
      <w:r>
        <w:t>ice and gaining intel about the situation.</w:t>
      </w:r>
    </w:p>
    <w:p w14:paraId="0A946E20" w14:textId="77777777" w:rsidR="00A3453E" w:rsidRDefault="00DA6528">
      <w:pPr>
        <w:pStyle w:val="Plattetekst"/>
        <w:spacing w:before="158"/>
        <w:ind w:left="120"/>
      </w:pPr>
      <w:r>
        <w:rPr>
          <w:u w:val="single"/>
        </w:rPr>
        <w:t>Points to consider</w:t>
      </w:r>
      <w:r>
        <w:t>:</w:t>
      </w:r>
    </w:p>
    <w:p w14:paraId="7B5169C9" w14:textId="77777777" w:rsidR="00A3453E" w:rsidRDefault="00A3453E">
      <w:pPr>
        <w:pStyle w:val="Plattetekst"/>
        <w:spacing w:before="11"/>
        <w:rPr>
          <w:sz w:val="11"/>
        </w:rPr>
      </w:pPr>
    </w:p>
    <w:p w14:paraId="7D542BA4" w14:textId="77777777" w:rsidR="00A3453E" w:rsidRDefault="00DA6528">
      <w:pPr>
        <w:pStyle w:val="Plattetekst"/>
        <w:spacing w:before="57" w:line="276" w:lineRule="auto"/>
        <w:ind w:left="120" w:right="192"/>
      </w:pPr>
      <w:r>
        <w:t>As there was no previous survey conducted on the students, denoting how COVID19 has changed lifestyle habits over a longer study period (e.g. to pre-COVID19 times) cannot be gauged. In additio</w:t>
      </w:r>
      <w:r>
        <w:t>n, the year of study information was only collected for 1</w:t>
      </w:r>
      <w:r>
        <w:rPr>
          <w:vertAlign w:val="superscript"/>
        </w:rPr>
        <w:t>st</w:t>
      </w:r>
      <w:r>
        <w:t xml:space="preserve"> year students therefore impact on how it affects students across different years cannot be gauged.</w:t>
      </w:r>
    </w:p>
    <w:p w14:paraId="211B3AE0" w14:textId="77777777" w:rsidR="00A3453E" w:rsidRDefault="00A3453E">
      <w:pPr>
        <w:pStyle w:val="Plattetekst"/>
      </w:pPr>
    </w:p>
    <w:p w14:paraId="2CAE6670" w14:textId="77777777" w:rsidR="00A3453E" w:rsidRDefault="00DA6528">
      <w:pPr>
        <w:pStyle w:val="Plattetekst"/>
        <w:spacing w:before="181" w:line="259" w:lineRule="auto"/>
        <w:ind w:left="120" w:right="2258"/>
      </w:pPr>
      <w:r>
        <w:t xml:space="preserve">For any questions regarding the analysis of the survey results, please contact: </w:t>
      </w:r>
      <w:hyperlink r:id="rId13">
        <w:r>
          <w:rPr>
            <w:color w:val="0462C1"/>
            <w:u w:val="single" w:color="0462C1"/>
          </w:rPr>
          <w:t>contact@doughnutparty.nl</w:t>
        </w:r>
      </w:hyperlink>
    </w:p>
    <w:p w14:paraId="399C9FF8" w14:textId="77777777" w:rsidR="00A3453E" w:rsidRDefault="00A3453E">
      <w:pPr>
        <w:spacing w:line="259" w:lineRule="auto"/>
        <w:sectPr w:rsidR="00A3453E">
          <w:pgSz w:w="11910" w:h="16840"/>
          <w:pgMar w:top="1380" w:right="1280" w:bottom="280" w:left="1320" w:header="708" w:footer="708" w:gutter="0"/>
          <w:cols w:space="708"/>
        </w:sectPr>
      </w:pPr>
    </w:p>
    <w:p w14:paraId="48B1B94C" w14:textId="77777777" w:rsidR="00A3453E" w:rsidRDefault="00DA6528">
      <w:pPr>
        <w:pStyle w:val="Kop2"/>
      </w:pPr>
      <w:r>
        <w:lastRenderedPageBreak/>
        <w:t>Appendix 1: Soft/hard drug use</w:t>
      </w:r>
    </w:p>
    <w:p w14:paraId="651E6808" w14:textId="77777777" w:rsidR="00A3453E" w:rsidRDefault="00DA6528">
      <w:pPr>
        <w:pStyle w:val="Plattetekst"/>
        <w:spacing w:before="7"/>
        <w:rPr>
          <w:b/>
          <w:sz w:val="16"/>
        </w:rPr>
      </w:pPr>
      <w:r>
        <w:rPr>
          <w:noProof/>
        </w:rPr>
        <w:drawing>
          <wp:anchor distT="0" distB="0" distL="0" distR="0" simplePos="0" relativeHeight="3" behindDoc="0" locked="0" layoutInCell="1" allowOverlap="1" wp14:anchorId="1467871A" wp14:editId="62B6B23B">
            <wp:simplePos x="0" y="0"/>
            <wp:positionH relativeFrom="page">
              <wp:posOffset>1430457</wp:posOffset>
            </wp:positionH>
            <wp:positionV relativeFrom="paragraph">
              <wp:posOffset>153345</wp:posOffset>
            </wp:positionV>
            <wp:extent cx="4806306" cy="332727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806306" cy="3327273"/>
                    </a:xfrm>
                    <a:prstGeom prst="rect">
                      <a:avLst/>
                    </a:prstGeom>
                  </pic:spPr>
                </pic:pic>
              </a:graphicData>
            </a:graphic>
          </wp:anchor>
        </w:drawing>
      </w:r>
    </w:p>
    <w:p w14:paraId="5A89E96D" w14:textId="77777777" w:rsidR="00A3453E" w:rsidRDefault="00A3453E">
      <w:pPr>
        <w:pStyle w:val="Plattetekst"/>
        <w:rPr>
          <w:b/>
        </w:rPr>
      </w:pPr>
    </w:p>
    <w:p w14:paraId="77CCD15D" w14:textId="77777777" w:rsidR="00A3453E" w:rsidRDefault="00A3453E">
      <w:pPr>
        <w:pStyle w:val="Plattetekst"/>
        <w:spacing w:before="7"/>
        <w:rPr>
          <w:b/>
          <w:sz w:val="18"/>
        </w:rPr>
      </w:pPr>
    </w:p>
    <w:p w14:paraId="0788C3AA" w14:textId="77777777" w:rsidR="00A3453E" w:rsidRDefault="00DA6528">
      <w:pPr>
        <w:ind w:left="120"/>
        <w:rPr>
          <w:sz w:val="20"/>
        </w:rPr>
      </w:pPr>
      <w:r>
        <w:rPr>
          <w:sz w:val="20"/>
        </w:rPr>
        <w:t>Figure: Breakdown of total student population responding their current soft drug use</w:t>
      </w:r>
    </w:p>
    <w:p w14:paraId="24C7135F" w14:textId="77777777" w:rsidR="00A3453E" w:rsidRDefault="00A3453E">
      <w:pPr>
        <w:pStyle w:val="Plattetekst"/>
        <w:rPr>
          <w:sz w:val="20"/>
        </w:rPr>
      </w:pPr>
    </w:p>
    <w:p w14:paraId="043EE959" w14:textId="77777777" w:rsidR="00A3453E" w:rsidRDefault="00A3453E">
      <w:pPr>
        <w:pStyle w:val="Plattetekst"/>
        <w:rPr>
          <w:sz w:val="20"/>
        </w:rPr>
      </w:pPr>
    </w:p>
    <w:p w14:paraId="7C8AB9E5" w14:textId="77777777" w:rsidR="00A3453E" w:rsidRDefault="00A3453E">
      <w:pPr>
        <w:pStyle w:val="Plattetekst"/>
        <w:rPr>
          <w:sz w:val="20"/>
        </w:rPr>
      </w:pPr>
    </w:p>
    <w:p w14:paraId="710A79BA" w14:textId="77777777" w:rsidR="00A3453E" w:rsidRDefault="00DA6528">
      <w:pPr>
        <w:pStyle w:val="Plattetekst"/>
        <w:spacing w:before="4"/>
        <w:rPr>
          <w:sz w:val="16"/>
        </w:rPr>
      </w:pPr>
      <w:r>
        <w:rPr>
          <w:noProof/>
        </w:rPr>
        <w:drawing>
          <wp:anchor distT="0" distB="0" distL="0" distR="0" simplePos="0" relativeHeight="4" behindDoc="0" locked="0" layoutInCell="1" allowOverlap="1" wp14:anchorId="15E06DB5" wp14:editId="5DDD7E49">
            <wp:simplePos x="0" y="0"/>
            <wp:positionH relativeFrom="page">
              <wp:posOffset>1430457</wp:posOffset>
            </wp:positionH>
            <wp:positionV relativeFrom="paragraph">
              <wp:posOffset>151737</wp:posOffset>
            </wp:positionV>
            <wp:extent cx="4806306" cy="3327273"/>
            <wp:effectExtent l="0" t="0" r="0" b="0"/>
            <wp:wrapTopAndBottom/>
            <wp:docPr id="9" name="image5.jpeg" descr="Chart, pi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4806306" cy="3327273"/>
                    </a:xfrm>
                    <a:prstGeom prst="rect">
                      <a:avLst/>
                    </a:prstGeom>
                  </pic:spPr>
                </pic:pic>
              </a:graphicData>
            </a:graphic>
          </wp:anchor>
        </w:drawing>
      </w:r>
    </w:p>
    <w:p w14:paraId="39ECD85F" w14:textId="77777777" w:rsidR="00A3453E" w:rsidRDefault="00A3453E">
      <w:pPr>
        <w:pStyle w:val="Plattetekst"/>
        <w:rPr>
          <w:sz w:val="20"/>
        </w:rPr>
      </w:pPr>
    </w:p>
    <w:p w14:paraId="4E357B78" w14:textId="77777777" w:rsidR="00A3453E" w:rsidRDefault="00A3453E">
      <w:pPr>
        <w:pStyle w:val="Plattetekst"/>
        <w:spacing w:before="3"/>
        <w:rPr>
          <w:sz w:val="19"/>
        </w:rPr>
      </w:pPr>
    </w:p>
    <w:p w14:paraId="74CE84F4" w14:textId="77777777" w:rsidR="00A3453E" w:rsidRDefault="00DA6528">
      <w:pPr>
        <w:ind w:left="120"/>
        <w:rPr>
          <w:sz w:val="20"/>
        </w:rPr>
      </w:pPr>
      <w:r>
        <w:rPr>
          <w:sz w:val="20"/>
        </w:rPr>
        <w:t>Figure: Breakdown of total student population responding their current hard drug use</w:t>
      </w:r>
    </w:p>
    <w:p w14:paraId="31CF8718" w14:textId="77777777" w:rsidR="00A3453E" w:rsidRDefault="00A3453E">
      <w:pPr>
        <w:rPr>
          <w:sz w:val="20"/>
        </w:rPr>
        <w:sectPr w:rsidR="00A3453E">
          <w:pgSz w:w="11910" w:h="16840"/>
          <w:pgMar w:top="1380" w:right="1280" w:bottom="280" w:left="1320" w:header="708" w:footer="708" w:gutter="0"/>
          <w:cols w:space="708"/>
        </w:sectPr>
      </w:pPr>
    </w:p>
    <w:p w14:paraId="017E6057" w14:textId="77777777" w:rsidR="00A3453E" w:rsidRDefault="00DA6528">
      <w:pPr>
        <w:pStyle w:val="Kop2"/>
      </w:pPr>
      <w:r>
        <w:lastRenderedPageBreak/>
        <w:t>Appendix 2: Drinking habits</w:t>
      </w:r>
    </w:p>
    <w:p w14:paraId="68429B0E" w14:textId="77777777" w:rsidR="00A3453E" w:rsidRDefault="00A3453E">
      <w:pPr>
        <w:pStyle w:val="Plattetekst"/>
        <w:rPr>
          <w:b/>
          <w:sz w:val="20"/>
        </w:rPr>
      </w:pPr>
    </w:p>
    <w:p w14:paraId="5E4363CB" w14:textId="77777777" w:rsidR="00A3453E" w:rsidRDefault="00DA6528">
      <w:pPr>
        <w:pStyle w:val="Plattetekst"/>
        <w:spacing w:before="7"/>
        <w:rPr>
          <w:b/>
        </w:rPr>
      </w:pPr>
      <w:r>
        <w:rPr>
          <w:noProof/>
        </w:rPr>
        <w:drawing>
          <wp:anchor distT="0" distB="0" distL="0" distR="0" simplePos="0" relativeHeight="5" behindDoc="0" locked="0" layoutInCell="1" allowOverlap="1" wp14:anchorId="1542A5F1" wp14:editId="38E4C5D9">
            <wp:simplePos x="0" y="0"/>
            <wp:positionH relativeFrom="page">
              <wp:posOffset>1430457</wp:posOffset>
            </wp:positionH>
            <wp:positionV relativeFrom="paragraph">
              <wp:posOffset>200118</wp:posOffset>
            </wp:positionV>
            <wp:extent cx="4272272" cy="3327273"/>
            <wp:effectExtent l="0" t="0" r="0" b="0"/>
            <wp:wrapTopAndBottom/>
            <wp:docPr id="11" name="image6.jpeg" descr="Chart, pi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4272272" cy="3327273"/>
                    </a:xfrm>
                    <a:prstGeom prst="rect">
                      <a:avLst/>
                    </a:prstGeom>
                  </pic:spPr>
                </pic:pic>
              </a:graphicData>
            </a:graphic>
          </wp:anchor>
        </w:drawing>
      </w:r>
    </w:p>
    <w:p w14:paraId="5A5843C7" w14:textId="77777777" w:rsidR="00A3453E" w:rsidRDefault="00A3453E">
      <w:pPr>
        <w:pStyle w:val="Plattetekst"/>
        <w:rPr>
          <w:b/>
        </w:rPr>
      </w:pPr>
    </w:p>
    <w:p w14:paraId="072D0BC1" w14:textId="77777777" w:rsidR="00A3453E" w:rsidRDefault="00DA6528">
      <w:pPr>
        <w:spacing w:before="151"/>
        <w:ind w:left="120"/>
        <w:rPr>
          <w:sz w:val="20"/>
        </w:rPr>
      </w:pPr>
      <w:r>
        <w:rPr>
          <w:sz w:val="20"/>
        </w:rPr>
        <w:t>Figure: Breakdown of total studen</w:t>
      </w:r>
      <w:r>
        <w:rPr>
          <w:sz w:val="20"/>
        </w:rPr>
        <w:t>t population responding their current drinking habits</w:t>
      </w:r>
    </w:p>
    <w:p w14:paraId="66289226" w14:textId="77777777" w:rsidR="00A3453E" w:rsidRDefault="00A3453E">
      <w:pPr>
        <w:rPr>
          <w:sz w:val="20"/>
        </w:rPr>
        <w:sectPr w:rsidR="00A3453E">
          <w:pgSz w:w="11910" w:h="16840"/>
          <w:pgMar w:top="1380" w:right="1280" w:bottom="280" w:left="1320" w:header="708" w:footer="708" w:gutter="0"/>
          <w:cols w:space="708"/>
        </w:sectPr>
      </w:pPr>
    </w:p>
    <w:p w14:paraId="3D7BADFF" w14:textId="77777777" w:rsidR="00A3453E" w:rsidRDefault="00DA6528">
      <w:pPr>
        <w:pStyle w:val="Plattetekst"/>
        <w:spacing w:before="41"/>
        <w:ind w:left="120"/>
      </w:pPr>
      <w:r>
        <w:rPr>
          <w:u w:val="single"/>
        </w:rPr>
        <w:lastRenderedPageBreak/>
        <w:t xml:space="preserve">Appendix 1: Reporting unacceptable </w:t>
      </w:r>
      <w:proofErr w:type="spellStart"/>
      <w:r>
        <w:rPr>
          <w:u w:val="single"/>
        </w:rPr>
        <w:t>behaviour</w:t>
      </w:r>
      <w:proofErr w:type="spellEnd"/>
      <w:r>
        <w:rPr>
          <w:u w:val="single"/>
        </w:rPr>
        <w:t xml:space="preserve"> in the UMCG</w:t>
      </w:r>
    </w:p>
    <w:p w14:paraId="4CCEE295" w14:textId="77777777" w:rsidR="00A3453E" w:rsidRDefault="00A3453E">
      <w:pPr>
        <w:pStyle w:val="Plattetekst"/>
        <w:rPr>
          <w:sz w:val="20"/>
        </w:rPr>
      </w:pPr>
    </w:p>
    <w:p w14:paraId="37D74AE4" w14:textId="77777777" w:rsidR="00A3453E" w:rsidRDefault="00A3453E">
      <w:pPr>
        <w:pStyle w:val="Plattetekst"/>
        <w:rPr>
          <w:sz w:val="20"/>
        </w:rPr>
      </w:pPr>
    </w:p>
    <w:p w14:paraId="5960E1B8" w14:textId="77777777" w:rsidR="00A3453E" w:rsidRDefault="00A3453E">
      <w:pPr>
        <w:pStyle w:val="Plattetekst"/>
        <w:rPr>
          <w:sz w:val="20"/>
        </w:rPr>
      </w:pPr>
    </w:p>
    <w:p w14:paraId="74C04853" w14:textId="77777777" w:rsidR="00A3453E" w:rsidRDefault="00A3453E">
      <w:pPr>
        <w:pStyle w:val="Plattetekst"/>
        <w:rPr>
          <w:sz w:val="20"/>
        </w:rPr>
      </w:pPr>
    </w:p>
    <w:p w14:paraId="0FA39B5B" w14:textId="77777777" w:rsidR="00A3453E" w:rsidRDefault="00DA6528">
      <w:pPr>
        <w:pStyle w:val="Plattetekst"/>
        <w:spacing w:before="2"/>
        <w:rPr>
          <w:sz w:val="28"/>
        </w:rPr>
      </w:pPr>
      <w:r>
        <w:rPr>
          <w:noProof/>
        </w:rPr>
        <w:drawing>
          <wp:anchor distT="0" distB="0" distL="0" distR="0" simplePos="0" relativeHeight="6" behindDoc="0" locked="0" layoutInCell="1" allowOverlap="1" wp14:anchorId="3B86F19F" wp14:editId="42F027CB">
            <wp:simplePos x="0" y="0"/>
            <wp:positionH relativeFrom="page">
              <wp:posOffset>1233970</wp:posOffset>
            </wp:positionH>
            <wp:positionV relativeFrom="paragraph">
              <wp:posOffset>243270</wp:posOffset>
            </wp:positionV>
            <wp:extent cx="4916908" cy="750750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4916908" cy="7507509"/>
                    </a:xfrm>
                    <a:prstGeom prst="rect">
                      <a:avLst/>
                    </a:prstGeom>
                  </pic:spPr>
                </pic:pic>
              </a:graphicData>
            </a:graphic>
          </wp:anchor>
        </w:drawing>
      </w:r>
    </w:p>
    <w:sectPr w:rsidR="00A3453E">
      <w:pgSz w:w="11910" w:h="16840"/>
      <w:pgMar w:top="1380" w:right="128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3E"/>
    <w:rsid w:val="00375119"/>
    <w:rsid w:val="003C4FDD"/>
    <w:rsid w:val="00A3453E"/>
    <w:rsid w:val="00DA6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6F3B"/>
  <w15:docId w15:val="{E21F9907-99A7-4F44-8995-3C77419C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rPr>
  </w:style>
  <w:style w:type="paragraph" w:styleId="Kop1">
    <w:name w:val="heading 1"/>
    <w:basedOn w:val="Standaard"/>
    <w:uiPriority w:val="9"/>
    <w:qFormat/>
    <w:pPr>
      <w:spacing w:before="41"/>
      <w:ind w:left="120"/>
      <w:outlineLvl w:val="0"/>
    </w:pPr>
    <w:rPr>
      <w:b/>
      <w:bCs/>
      <w:sz w:val="24"/>
      <w:szCs w:val="24"/>
    </w:rPr>
  </w:style>
  <w:style w:type="paragraph" w:styleId="Kop2">
    <w:name w:val="heading 2"/>
    <w:basedOn w:val="Standaard"/>
    <w:uiPriority w:val="9"/>
    <w:unhideWhenUsed/>
    <w:qFormat/>
    <w:pPr>
      <w:spacing w:before="41"/>
      <w:ind w:left="120"/>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28"/>
      <w:ind w:left="4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contact@doughnutparty.n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1898</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Taichi Ochi</dc:creator>
  <cp:lastModifiedBy>Ale ten Cate</cp:lastModifiedBy>
  <cp:revision>2</cp:revision>
  <dcterms:created xsi:type="dcterms:W3CDTF">2022-05-09T12:01:00Z</dcterms:created>
  <dcterms:modified xsi:type="dcterms:W3CDTF">2022-05-09T12:01:00Z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2022-04-26T00:00:00Z</vt:filetime>
  </property>
</Properties>
</file>